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C7" w:rsidRPr="00370DC7" w:rsidRDefault="00370DC7" w:rsidP="00370DC7">
      <w:pPr>
        <w:shd w:val="clear" w:color="auto" w:fill="E9E8DB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Программа стимулирования кредитования субъектов малого и среднего предпринимательства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«ПРОГРАММА СТИМУЛИРОВАНИЯ КРЕДИТОВАНИЯ»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ПРАВИТЕЛЬСТВО РОССИЙСКОЙ ФЕДЕРАЦИИ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ПОСТАНОВЛЕНИЕ от 30 декабря 2017 г. № 1706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субъектам малого и среднего предпринимательства на реализацию проектов в приоритетных отраслях по льготной ставке</w:t>
      </w:r>
    </w:p>
    <w:tbl>
      <w:tblPr>
        <w:tblW w:w="97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9E8DB"/>
        <w:tblCellMar>
          <w:left w:w="0" w:type="dxa"/>
          <w:right w:w="0" w:type="dxa"/>
        </w:tblCellMar>
        <w:tblLook w:val="04A0"/>
      </w:tblPr>
      <w:tblGrid>
        <w:gridCol w:w="3536"/>
        <w:gridCol w:w="3549"/>
        <w:gridCol w:w="2711"/>
      </w:tblGrid>
      <w:tr w:rsidR="00370DC7" w:rsidRPr="00370DC7" w:rsidTr="00370DC7">
        <w:trPr>
          <w:tblCellSpacing w:w="0" w:type="dxa"/>
        </w:trPr>
        <w:tc>
          <w:tcPr>
            <w:tcW w:w="97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</w:rPr>
              <w:t>Уполномоченные банки на территории Республики Мордовия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АО «</w:t>
            </w:r>
            <w:proofErr w:type="spell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Россельхозбанк</w:t>
            </w:r>
            <w:proofErr w:type="spell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»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Мордовский региональный филиал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430005, Республика Мордовия, г. Саранск, Ленинский р-н, ул. Советская, д. 47А</w:t>
            </w:r>
            <w:proofErr w:type="gramEnd"/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 (800) 100-0-100 Контакт-центр Банка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(8342) 29- 22-80, 29-23-86 Отдел по работе с клиентами малого и </w:t>
            </w:r>
            <w:proofErr w:type="spell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микробизнеса</w:t>
            </w:r>
            <w:proofErr w:type="spellEnd"/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Официальный сайт </w:t>
            </w:r>
            <w:hyperlink r:id="rId5" w:history="1">
              <w:r w:rsidRPr="00370DC7">
                <w:rPr>
                  <w:rFonts w:ascii="Verdana" w:eastAsia="Times New Roman" w:hAnsi="Verdana" w:cs="Times New Roman"/>
                  <w:color w:val="015280"/>
                  <w:sz w:val="18"/>
                  <w:u w:val="single"/>
                </w:rPr>
                <w:t>https://www.rshb.ru</w:t>
              </w:r>
            </w:hyperlink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Региональный операционный офис «Саранский» филиала №6318 Банка ВТБ (ПАО)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тел. 8 (987) 695-00-24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Налейкин</w:t>
            </w:r>
            <w:proofErr w:type="spell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Артем Юрьевич, главный клиентский менеджер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Официальный сайт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" w:history="1">
              <w:r w:rsidRPr="00370DC7">
                <w:rPr>
                  <w:rFonts w:ascii="Verdana" w:eastAsia="Times New Roman" w:hAnsi="Verdana" w:cs="Times New Roman"/>
                  <w:color w:val="015280"/>
                  <w:sz w:val="18"/>
                  <w:u w:val="single"/>
                </w:rPr>
                <w:t>https://www.vtb.ru</w:t>
              </w:r>
            </w:hyperlink>
          </w:p>
        </w:tc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Отделение «ППКМБ №8589/20199» банка «Сбербанк России» в Саранске,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proofErr w:type="gram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 Саранск, ул. Коммунистическая, д. 32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 (800) 555-55-50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89176923386 Горшенин Сергей Александрович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Официальный сайт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7" w:history="1">
              <w:r w:rsidRPr="00370DC7">
                <w:rPr>
                  <w:rFonts w:ascii="Verdana" w:eastAsia="Times New Roman" w:hAnsi="Verdana" w:cs="Times New Roman"/>
                  <w:color w:val="015280"/>
                  <w:sz w:val="18"/>
                  <w:u w:val="single"/>
                </w:rPr>
                <w:t>https://www.sberbank.ru</w:t>
              </w:r>
            </w:hyperlink>
          </w:p>
        </w:tc>
      </w:tr>
    </w:tbl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Условия Программы стимулирования кредитования</w:t>
      </w:r>
    </w:p>
    <w:tbl>
      <w:tblPr>
        <w:tblW w:w="97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9E8DB"/>
        <w:tblCellMar>
          <w:left w:w="0" w:type="dxa"/>
          <w:right w:w="0" w:type="dxa"/>
        </w:tblCellMar>
        <w:tblLook w:val="04A0"/>
      </w:tblPr>
      <w:tblGrid>
        <w:gridCol w:w="2970"/>
        <w:gridCol w:w="6826"/>
      </w:tblGrid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Целевой характер кредита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1.Инвестиционные цели: приобретение и (или) создание (сооружение, изготовление, достройку, дооборудование, реконструкцию, модернизацию и техническое перевооружение) основных средств (включая строительство, реконструкцию, модернизацию объектов капитального строительства, в том числе выполнение инженерных изысканий, подготовку проектной документации для их строительства, реконструкции, модернизации);</w:t>
            </w:r>
            <w:proofErr w:type="gramEnd"/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2.Пополнение оборотных средств.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Сумма кредита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Инвестиционные цели: от 3 млн. рублей до 1 </w:t>
            </w:r>
            <w:proofErr w:type="spellStart"/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млрд</w:t>
            </w:r>
            <w:proofErr w:type="spellEnd"/>
            <w:proofErr w:type="gram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рублей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 цели пополнение оборотных средств: от 3 млн. рублей до 100 млн. рублей.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Суммарный объем кредитов, которые могут быть выданы одному Субъекту МСП по Программе не может превышать 1 </w:t>
            </w:r>
            <w:proofErr w:type="spellStart"/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млрд</w:t>
            </w:r>
            <w:proofErr w:type="spellEnd"/>
            <w:proofErr w:type="gram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рублей (в том числе не более 100 млн. рублей на цели финансирования текущей деятельности).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Срок кредита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Инвестиционные цели: до 10 лет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 цели пополнение оборотных средств: до 3 лет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Кредитный договор должен быть заключен в период с 01.01.2018 г. по 30.11.2018 г.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Процентная ставка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1.Льготная ставка (на период участия заемщика в Программе субсидирования МЭР 2018): 6,5% </w:t>
            </w:r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годовых</w:t>
            </w:r>
            <w:proofErr w:type="gram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2.Стандартная ставка – согласно ВНД Банка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Валюта кредита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Рубли РФ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Комиссии/прочие платежи по кредиту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Допускается применение следующих видов:</w:t>
            </w:r>
          </w:p>
          <w:p w:rsidR="00370DC7" w:rsidRPr="00370DC7" w:rsidRDefault="00370DC7" w:rsidP="00370DC7">
            <w:pPr>
              <w:numPr>
                <w:ilvl w:val="0"/>
                <w:numId w:val="1"/>
              </w:numPr>
              <w:spacing w:before="105" w:after="120" w:line="240" w:lineRule="auto"/>
              <w:ind w:left="150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Плата за досрочный возврат кредита;</w:t>
            </w:r>
          </w:p>
          <w:p w:rsidR="00370DC7" w:rsidRPr="00370DC7" w:rsidRDefault="00370DC7" w:rsidP="00370DC7">
            <w:pPr>
              <w:numPr>
                <w:ilvl w:val="0"/>
                <w:numId w:val="1"/>
              </w:numPr>
              <w:spacing w:before="105" w:after="120" w:line="240" w:lineRule="auto"/>
              <w:ind w:left="150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Плата за пользование лимитом кредитной линии.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Иные платы исключаются из условий кредитования и не являются нестандартным условием сделки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Режим кредитования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Кредит, НКЛ, ВКЛ*, Овердрафт*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Дополнительные требования</w:t>
            </w:r>
          </w:p>
        </w:tc>
        <w:tc>
          <w:tcPr>
            <w:tcW w:w="6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Представление субсидии Банку по кредитным договорам (соглашениям), по которым было получено финансирование Центрального банка Российской Федерации, обеспеченное поручительствами акционерного общества «Федеральная корпорация по развитию малого и среднего предпринимательства» (Программа 6,5) в рамках Программы субсидирования МЭР 2018, не допускается</w:t>
            </w:r>
          </w:p>
        </w:tc>
      </w:tr>
    </w:tbl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Требования к Субъектам МСП</w:t>
      </w:r>
    </w:p>
    <w:tbl>
      <w:tblPr>
        <w:tblW w:w="97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9E8DB"/>
        <w:tblCellMar>
          <w:left w:w="0" w:type="dxa"/>
          <w:right w:w="0" w:type="dxa"/>
        </w:tblCellMar>
        <w:tblLook w:val="04A0"/>
      </w:tblPr>
      <w:tblGrid>
        <w:gridCol w:w="3390"/>
        <w:gridCol w:w="6406"/>
      </w:tblGrid>
      <w:tr w:rsidR="00370DC7" w:rsidRPr="00370DC7" w:rsidTr="00370DC7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Наличие статуса Субъекта МСП</w:t>
            </w:r>
          </w:p>
        </w:tc>
        <w:tc>
          <w:tcPr>
            <w:tcW w:w="6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1.Наличие статуса Субъекта МСП в соответствии с Федеральным законом от 24.07.2007 №209-ФЗ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Целевой клиентский сегмент</w:t>
            </w:r>
          </w:p>
        </w:tc>
        <w:tc>
          <w:tcPr>
            <w:tcW w:w="6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«Крупный бизнес»; «Средний бизнес»; «Малый бизнес»; «Микро </w:t>
            </w: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бизнес»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Вид/отрасль деятельности клиента</w:t>
            </w:r>
          </w:p>
        </w:tc>
        <w:tc>
          <w:tcPr>
            <w:tcW w:w="6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Должен относиться к одной из приоритетных отраслей, указанных в Постановлении Правительства РФ 1706 от 30.12.17 (включая отрасль розничной торговли для моногородов и ДФО).</w:t>
            </w:r>
          </w:p>
        </w:tc>
      </w:tr>
      <w:tr w:rsidR="00370DC7" w:rsidRPr="00370DC7" w:rsidTr="00370DC7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Дополнительные требования</w:t>
            </w:r>
          </w:p>
        </w:tc>
        <w:tc>
          <w:tcPr>
            <w:tcW w:w="6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E8DB"/>
            <w:hideMark/>
          </w:tcPr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1.заемщик обладает статусом налогового резидента Российской Федерации;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2.в отношении заемщика не должно быть возбуждено производство по делу о несостоятельности (банкротстве) в соответствии с законодательством Российской Федерации о несостоятельности (банкротстве);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3.заемщик не должен иметь просроченной (неурегулированной) задолженности по налогам, сборам и иным обязательным платежам в бюджеты бюджетной системы Российской Федерации;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4.Заемщик не должен иметь задолженности перед работниками (персонало</w:t>
            </w:r>
            <w:proofErr w:type="gramStart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м(</w:t>
            </w:r>
            <w:proofErr w:type="gramEnd"/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заработной плате;</w:t>
            </w:r>
          </w:p>
          <w:p w:rsidR="00370DC7" w:rsidRPr="00370DC7" w:rsidRDefault="00370DC7" w:rsidP="00370DC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370DC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5.Отсутствие просроченных платежей по основному долгу и (или) процентам и (или) комиссионным платежам по кредитному портфелю продолжительностью (общей продолжительностью) более 30 календарных дней за последние 180 календарных дней на дату принятия решения о предоставлении кредита в рамках Программы субсидирования МЭР 2018 (неотрицательная кредитная история)</w:t>
            </w:r>
          </w:p>
        </w:tc>
      </w:tr>
    </w:tbl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b/>
          <w:bCs/>
          <w:color w:val="000000"/>
          <w:sz w:val="18"/>
        </w:rPr>
        <w:t>Приоритетные отрасли: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1.Сельское хозяйство, включая производство сельскохозяйственной продукции, а также предоставление услуг в этой отрасли экономики, в том числе в целях обеспечения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импортозамещения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развития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несырьевого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экспорта.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2.Обрабатывающее производство, в том числе производство пищевых продуктов, первичная и последующая (промышленная) переработка сельскохозяйственной продукции, в том числе в целях обеспечения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импортозамещения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и развития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несырьевого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экспорта.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3.Производство и распределение электроэнергии, газа и воды.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4.Строительство, в том числе в рамках развития внутреннего туризма.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5.Транспорт и связь.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6.Туристская деятельность и деятельность в области туристской индустрии в целях развития внутреннего туризма.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7.Деятельность в области здравоохранения.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8.Сбор,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9.Деятельность предприятий общественного питания (за исключением ресторанов).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10.Деятельность в сфере бытовых услуг.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gram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11.Отрасли экономики, в которых реализуются приоритетные направления развития науки, технологий и техники в Российской Федерации, а также критические технологии Российской Федерации, перечень которых утвержден Указом Президента Российской Федерации от 7 июля 2011 г. № 899 «Об утверждении приоритетных направлений развития науки, технологий и техники в Российской Федерации и перечня критических технологий Российской Федерации».</w:t>
      </w:r>
      <w:proofErr w:type="gramEnd"/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gram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12.Деятельность в сфере розничной торговли при условии, что субъект малого или среднего предпринимательства зарегистрирован и (или) осуществляет такую деятельность (в том числе через свои филиалы и иные обособленные подразделения, за исключением представительств) на территории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монопрофильного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муниципального образования, включенного в перечень </w:t>
      </w:r>
      <w:proofErr w:type="spell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монопрофильных</w:t>
      </w:r>
      <w:proofErr w:type="spell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муниципальных образований Российской Федерации (моногородов), утвержденный распоряжением Правительства Российской Федерации от 29 июля 2014 г. № 1398-р, и доля</w:t>
      </w:r>
      <w:proofErr w:type="gram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доходов от ее осуществления по итогам предыдущего календарного года составляет не менее 70 процентов в общей сумме доходов субъекта малого или среднего предпринимательства.</w:t>
      </w:r>
    </w:p>
    <w:p w:rsidR="00370DC7" w:rsidRPr="00370DC7" w:rsidRDefault="00370DC7" w:rsidP="00370DC7">
      <w:pPr>
        <w:shd w:val="clear" w:color="auto" w:fill="E9E8DB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gramStart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>13.Деятельность в сфере розничной и (или) оптовой торговли при условии, что субъект малого или среднего предпринимательства зарегистрирован и (или) осуществляет такую деятельность (в том числе через свои филиалы и иные обособленные подразделения, за исключением представительств) на территориях субъектов Российской Федерации, входящих в состав Дальневосточного федерального округа, и доля доходов от ее осуществления по итогам предыдущего календарного года составляет не</w:t>
      </w:r>
      <w:proofErr w:type="gramEnd"/>
      <w:r w:rsidRPr="00370DC7">
        <w:rPr>
          <w:rFonts w:ascii="Verdana" w:eastAsia="Times New Roman" w:hAnsi="Verdana" w:cs="Times New Roman"/>
          <w:color w:val="000000"/>
          <w:sz w:val="18"/>
          <w:szCs w:val="18"/>
        </w:rPr>
        <w:t xml:space="preserve"> менее 70 процентов в общей сумме доходов субъекта малого или среднего предпринимательства.</w:t>
      </w:r>
    </w:p>
    <w:p w:rsidR="00B0366B" w:rsidRDefault="00B0366B"/>
    <w:sectPr w:rsidR="00B03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5224"/>
    <w:multiLevelType w:val="multilevel"/>
    <w:tmpl w:val="4174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0DC7"/>
    <w:rsid w:val="00370DC7"/>
    <w:rsid w:val="00B03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0DC7"/>
    <w:rPr>
      <w:b/>
      <w:bCs/>
    </w:rPr>
  </w:style>
  <w:style w:type="character" w:styleId="a5">
    <w:name w:val="Hyperlink"/>
    <w:basedOn w:val="a0"/>
    <w:uiPriority w:val="99"/>
    <w:semiHidden/>
    <w:unhideWhenUsed/>
    <w:rsid w:val="00370D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7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berban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tb.ru/" TargetMode="External"/><Relationship Id="rId5" Type="http://schemas.openxmlformats.org/officeDocument/2006/relationships/hyperlink" Target="https://www.rshb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2018-08-30T07:32:00Z</dcterms:created>
  <dcterms:modified xsi:type="dcterms:W3CDTF">2018-08-30T07:33:00Z</dcterms:modified>
</cp:coreProperties>
</file>