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C2" w:rsidRPr="00EB3FC2" w:rsidRDefault="00EB3FC2" w:rsidP="00EB3F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EB3FC2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fldChar w:fldCharType="begin"/>
      </w:r>
      <w:r w:rsidRPr="00EB3FC2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instrText xml:space="preserve"> HYPERLINK "http://www.pfrf.ru/knopki/zhizn~4411" </w:instrText>
      </w:r>
      <w:r w:rsidRPr="00EB3FC2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fldChar w:fldCharType="separate"/>
      </w:r>
      <w:proofErr w:type="spellStart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>Как</w:t>
      </w:r>
      <w:proofErr w:type="spellEnd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 xml:space="preserve"> </w:t>
      </w:r>
      <w:proofErr w:type="spellStart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>получить</w:t>
      </w:r>
      <w:proofErr w:type="spellEnd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 xml:space="preserve"> СНИЛС </w:t>
      </w:r>
      <w:proofErr w:type="spellStart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>взрослым</w:t>
      </w:r>
      <w:proofErr w:type="spellEnd"/>
      <w:r w:rsidRPr="00EB3FC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-US" w:eastAsia="ru-RU"/>
        </w:rPr>
        <w:t xml:space="preserve"> </w:t>
      </w:r>
      <w:r w:rsidRPr="00EB3FC2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fldChar w:fldCharType="end"/>
      </w:r>
    </w:p>
    <w:p w:rsidR="00EB3FC2" w:rsidRPr="00EB3FC2" w:rsidRDefault="00EB3FC2" w:rsidP="00EB3FC2">
      <w:pPr>
        <w:numPr>
          <w:ilvl w:val="0"/>
          <w:numId w:val="14"/>
        </w:numPr>
        <w:spacing w:before="100" w:beforeAutospacing="1" w:after="119" w:line="240" w:lineRule="auto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proofErr w:type="spellStart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При</w:t>
      </w:r>
      <w:proofErr w:type="spellEnd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</w:t>
      </w:r>
      <w:proofErr w:type="spellStart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устройстве</w:t>
      </w:r>
      <w:proofErr w:type="spellEnd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</w:t>
      </w:r>
      <w:proofErr w:type="spellStart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на</w:t>
      </w:r>
      <w:proofErr w:type="spellEnd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 </w:t>
      </w:r>
      <w:proofErr w:type="spellStart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работу</w:t>
      </w:r>
      <w:proofErr w:type="spellEnd"/>
      <w:r w:rsidRPr="00EB3FC2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 xml:space="preserve">. </w:t>
      </w:r>
    </w:p>
    <w:p w:rsidR="00EB3FC2" w:rsidRPr="00EB3FC2" w:rsidRDefault="00EB3FC2" w:rsidP="00EB3FC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B3FC2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 заключении трудового договора или договора гражданско-правового характера работодатель отправляет данные сотрудника и заполненную анкету в территориальный орган Пенсионного фонда России.</w:t>
      </w:r>
    </w:p>
    <w:p w:rsidR="00EB3FC2" w:rsidRPr="00EB3FC2" w:rsidRDefault="00EB3FC2" w:rsidP="00EB3FC2">
      <w:pPr>
        <w:numPr>
          <w:ilvl w:val="0"/>
          <w:numId w:val="15"/>
        </w:numPr>
        <w:spacing w:before="100" w:beforeAutospacing="1" w:after="119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B3FC2">
        <w:rPr>
          <w:rFonts w:ascii="Times New Roman" w:eastAsia="Times New Roman" w:hAnsi="Times New Roman" w:cs="Times New Roman"/>
          <w:sz w:val="36"/>
          <w:szCs w:val="36"/>
          <w:lang w:eastAsia="ru-RU"/>
        </w:rPr>
        <w:t>Самостоятельно в любом территориальном органе Пенсионного фонда Российской Федерации, а также в МФЦ, в случае если между ПФР и МФЦ заключено соглашение о взаимодействии.</w:t>
      </w:r>
    </w:p>
    <w:p w:rsidR="00EB3FC2" w:rsidRPr="00EB3FC2" w:rsidRDefault="00EB3FC2" w:rsidP="00EB3FC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B3FC2">
        <w:rPr>
          <w:rFonts w:ascii="Times New Roman" w:eastAsia="Times New Roman" w:hAnsi="Times New Roman" w:cs="Times New Roman"/>
          <w:sz w:val="36"/>
          <w:szCs w:val="36"/>
          <w:lang w:eastAsia="ru-RU"/>
        </w:rPr>
        <w:t>Необходимо предъявить паспорт и заполнить анкету. При обращении в орган Пенсионного фонда Российской Федерации регистрация в системе индивидуального (персонифицированного) учета и выдача документа, подтверждающего регистрацию, производится в режиме «реального времени».</w:t>
      </w:r>
    </w:p>
    <w:p w:rsidR="00EB3FC2" w:rsidRPr="00EB3FC2" w:rsidRDefault="00EB3FC2" w:rsidP="00EB3FC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B3FC2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2019-09-27T13:12:00Z</dcterms:created>
  <dcterms:modified xsi:type="dcterms:W3CDTF">2019-09-27T13:12:00Z</dcterms:modified>
</cp:coreProperties>
</file>