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5000000">
      <w:pPr>
        <w:ind/>
        <w:jc w:val="right"/>
        <w:rPr>
          <w:rFonts w:ascii="Arial" w:hAnsi="Arial"/>
          <w:color w:val="595959"/>
          <w:sz w:val="24"/>
        </w:rPr>
      </w:pPr>
      <w:bookmarkStart w:id="1" w:name="_GoBack"/>
      <w:bookmarkEnd w:id="1"/>
    </w:p>
    <w:p w14:paraId="06000000">
      <w:pPr>
        <w:spacing w:line="276" w:lineRule="auto"/>
        <w:ind/>
        <w:rPr>
          <w:rFonts w:ascii="Arial" w:hAnsi="Arial"/>
          <w:b w:val="1"/>
          <w:sz w:val="48"/>
        </w:rPr>
      </w:pPr>
      <w:r>
        <w:rPr>
          <w:rFonts w:ascii="Arial" w:hAnsi="Arial"/>
          <w:b w:val="1"/>
          <w:sz w:val="48"/>
        </w:rPr>
        <w:t>ПУТЕШЕСТВИЕ ВО ВРЕМЕНИ С</w:t>
      </w:r>
      <w:r>
        <w:rPr>
          <w:rFonts w:ascii="Arial" w:hAnsi="Arial"/>
          <w:b w:val="1"/>
          <w:sz w:val="48"/>
        </w:rPr>
        <w:t xml:space="preserve"> ПЕРЕПИСЬЮ. ВПЕРЕД, В БУДУЩЕЕ! </w:t>
      </w:r>
    </w:p>
    <w:p w14:paraId="07000000">
      <w:pPr>
        <w:spacing w:line="276" w:lineRule="auto"/>
        <w:ind w:firstLine="0" w:left="1276"/>
        <w:jc w:val="both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b w:val="1"/>
          <w:color w:val="525252"/>
          <w:sz w:val="24"/>
        </w:rPr>
        <w:t>Сегодня  стало известно, что</w:t>
      </w:r>
      <w:r>
        <w:rPr>
          <w:rFonts w:ascii="Arial" w:hAnsi="Arial"/>
          <w:i w:val="1"/>
          <w:color w:val="525252"/>
          <w:sz w:val="24"/>
        </w:rPr>
        <w:t xml:space="preserve"> </w:t>
      </w:r>
      <w:r>
        <w:rPr>
          <w:rFonts w:ascii="Arial" w:hAnsi="Arial"/>
          <w:b w:val="1"/>
          <w:color w:val="525252"/>
          <w:sz w:val="24"/>
        </w:rPr>
        <w:t xml:space="preserve"> культовый спортивный автомобиль DeLorean DMC-12, показанный в фильме «Назад в будущее», может быть возрожден. </w:t>
      </w:r>
      <w:r>
        <w:rPr>
          <w:rFonts w:ascii="Arial" w:hAnsi="Arial"/>
          <w:b w:val="1"/>
          <w:color w:val="525252"/>
          <w:sz w:val="24"/>
        </w:rPr>
        <w:t xml:space="preserve">Ровно </w:t>
      </w:r>
      <w:r>
        <w:rPr>
          <w:rFonts w:ascii="Arial" w:hAnsi="Arial"/>
          <w:b w:val="1"/>
          <w:color w:val="525252"/>
          <w:sz w:val="24"/>
        </w:rPr>
        <w:t xml:space="preserve">сорок лет назад он стал </w:t>
      </w:r>
      <w:r>
        <w:rPr>
          <w:rFonts w:ascii="Arial" w:hAnsi="Arial"/>
          <w:b w:val="1"/>
          <w:color w:val="525252"/>
          <w:sz w:val="24"/>
        </w:rPr>
        <w:t>прообразом машины времени</w:t>
      </w:r>
      <w:r>
        <w:rPr>
          <w:rFonts w:ascii="Arial" w:hAnsi="Arial"/>
          <w:b w:val="1"/>
          <w:color w:val="525252"/>
          <w:sz w:val="24"/>
        </w:rPr>
        <w:t>, позволив</w:t>
      </w:r>
      <w:r>
        <w:rPr>
          <w:rFonts w:ascii="Arial" w:hAnsi="Arial"/>
          <w:b w:val="1"/>
          <w:color w:val="525252"/>
          <w:sz w:val="24"/>
        </w:rPr>
        <w:t xml:space="preserve"> героям переместиться на 30 лет вперед и обратно, чтобы лучше узнать прошлое и попробовать изменить будущее. Самое время сделать то же самое при помо</w:t>
      </w:r>
      <w:r>
        <w:rPr>
          <w:rFonts w:ascii="Arial" w:hAnsi="Arial"/>
          <w:b w:val="1"/>
          <w:color w:val="525252"/>
          <w:sz w:val="24"/>
        </w:rPr>
        <w:t xml:space="preserve">щи данных переписи населения.  </w:t>
      </w:r>
    </w:p>
    <w:p w14:paraId="08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21 января 1981 года на конвейере завода DMC была выпущена первая модель автомобиля DMC-12, более известного как DeLorean. Этот автомобиль обрел культовый статус, благодаря своей «роли» в кинотрилогии «Назад в будущее» режиссера Роберта Земекиса</w:t>
      </w:r>
      <w:r>
        <w:rPr>
          <w:rFonts w:ascii="Arial" w:hAnsi="Arial"/>
          <w:color w:val="525252"/>
          <w:sz w:val="24"/>
        </w:rPr>
        <w:t>.</w:t>
      </w:r>
      <w:r>
        <w:rPr>
          <w:rFonts w:ascii="Arial" w:hAnsi="Arial"/>
          <w:color w:val="525252"/>
          <w:sz w:val="24"/>
        </w:rPr>
        <w:t xml:space="preserve"> Именно на DMC-12 герои фильма из своего 1985 года смогли посетить 1955, 2015 и даже 1885 и, наверное, каждый сделал важные выводы.</w:t>
      </w:r>
    </w:p>
    <w:p w14:paraId="09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Находить важные детали </w:t>
      </w:r>
      <w:r>
        <w:rPr>
          <w:rFonts w:ascii="Arial" w:hAnsi="Arial"/>
          <w:color w:val="525252"/>
          <w:sz w:val="24"/>
        </w:rPr>
        <w:t xml:space="preserve">в разные периоды </w:t>
      </w:r>
      <w:r>
        <w:rPr>
          <w:rFonts w:ascii="Arial" w:hAnsi="Arial"/>
          <w:color w:val="525252"/>
          <w:sz w:val="24"/>
        </w:rPr>
        <w:t xml:space="preserve">времени позволяет </w:t>
      </w:r>
      <w:r>
        <w:rPr>
          <w:rFonts w:ascii="Arial" w:hAnsi="Arial"/>
          <w:color w:val="525252"/>
          <w:sz w:val="24"/>
        </w:rPr>
        <w:t xml:space="preserve">и </w:t>
      </w:r>
      <w:r>
        <w:rPr>
          <w:rFonts w:ascii="Arial" w:hAnsi="Arial"/>
          <w:color w:val="525252"/>
          <w:sz w:val="24"/>
        </w:rPr>
        <w:t>статистика</w:t>
      </w:r>
      <w:r>
        <w:rPr>
          <w:rFonts w:ascii="Arial" w:hAnsi="Arial"/>
          <w:color w:val="525252"/>
          <w:sz w:val="24"/>
        </w:rPr>
        <w:t xml:space="preserve">. Она показывает, как меняется население, его предпочтения и возможности, а с ним и вся экономика страны. Зная, какими мы были 30, 20, 10  лет назад, кем стали сегодня — мы можем не только  заглянуть в будущее,  но и планировать его.  Попробуем совершить короткий экскурс. </w:t>
      </w:r>
    </w:p>
    <w:p w14:paraId="0A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Так, по данным переписи 1</w:t>
      </w:r>
      <w:r>
        <w:rPr>
          <w:rFonts w:ascii="Arial" w:hAnsi="Arial"/>
          <w:color w:val="525252"/>
          <w:sz w:val="24"/>
        </w:rPr>
        <w:t>989 года, в РСФСР было 12,7 млн</w:t>
      </w:r>
      <w:r>
        <w:rPr>
          <w:rFonts w:ascii="Arial" w:hAnsi="Arial"/>
          <w:color w:val="525252"/>
          <w:sz w:val="24"/>
        </w:rPr>
        <w:t xml:space="preserve"> жителей с высшим образованием и 21,7 млн — со средним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специальным, что составляло 10 и 18% населения республики старше 15 лет. В 2002 году уже 15% (19 млн) жителей России в этой возрастной категории имели высшее образование и 27% (32,9 млн) — среднее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профессиональное.  Спустя 8 лет, по данным переписи-2010, высшее образование имели уже 22% (26,8 млн), а среднее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п</w:t>
      </w:r>
      <w:r>
        <w:rPr>
          <w:rFonts w:ascii="Arial" w:hAnsi="Arial"/>
          <w:color w:val="525252"/>
          <w:sz w:val="24"/>
        </w:rPr>
        <w:t>рофессиональное — 30% (36,7 млн</w:t>
      </w:r>
      <w:r>
        <w:rPr>
          <w:rFonts w:ascii="Arial" w:hAnsi="Arial"/>
          <w:color w:val="525252"/>
          <w:sz w:val="24"/>
        </w:rPr>
        <w:t xml:space="preserve">). Как видно, </w:t>
      </w:r>
      <w:r>
        <w:rPr>
          <w:rFonts w:ascii="Arial" w:hAnsi="Arial"/>
          <w:color w:val="525252"/>
          <w:sz w:val="24"/>
        </w:rPr>
        <w:t xml:space="preserve">вырос </w:t>
      </w:r>
      <w:r>
        <w:rPr>
          <w:rFonts w:ascii="Arial" w:hAnsi="Arial"/>
          <w:color w:val="525252"/>
          <w:sz w:val="24"/>
        </w:rPr>
        <w:t xml:space="preserve">спрос на </w:t>
      </w:r>
      <w:r>
        <w:rPr>
          <w:rFonts w:ascii="Arial" w:hAnsi="Arial"/>
          <w:color w:val="525252"/>
          <w:sz w:val="24"/>
        </w:rPr>
        <w:t xml:space="preserve">высшее </w:t>
      </w:r>
      <w:r>
        <w:rPr>
          <w:rFonts w:ascii="Arial" w:hAnsi="Arial"/>
          <w:color w:val="525252"/>
          <w:sz w:val="24"/>
        </w:rPr>
        <w:t>образование</w:t>
      </w:r>
      <w:r>
        <w:rPr>
          <w:rFonts w:ascii="Arial" w:hAnsi="Arial"/>
          <w:color w:val="525252"/>
          <w:sz w:val="24"/>
        </w:rPr>
        <w:t>. Как повлияло это на предпочтения в работе?</w:t>
      </w:r>
    </w:p>
    <w:p w14:paraId="0B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В 80-е годы популярностью пользовались профессии работников нефтегазовой промышленности, товароведов, продавцов, сотрудников гостиниц, мастеров телеателье, наладчиков оборудования. </w:t>
      </w:r>
    </w:p>
    <w:p w14:paraId="0C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Считается, что на выбор и появление вакансий в гостиничном деле влияло развитие туризма после Олимпиады-80. Наладчики и специалисты в электронике стали требоваться  с </w:t>
      </w:r>
      <w:r>
        <w:rPr>
          <w:rFonts w:ascii="Arial" w:hAnsi="Arial"/>
          <w:color w:val="525252"/>
          <w:sz w:val="24"/>
        </w:rPr>
        <w:t xml:space="preserve">автоматизацией </w:t>
      </w:r>
      <w:r>
        <w:rPr>
          <w:rFonts w:ascii="Arial" w:hAnsi="Arial"/>
          <w:color w:val="525252"/>
          <w:sz w:val="24"/>
        </w:rPr>
        <w:t>промышл</w:t>
      </w:r>
      <w:r>
        <w:rPr>
          <w:rFonts w:ascii="Arial" w:hAnsi="Arial"/>
          <w:color w:val="525252"/>
          <w:sz w:val="24"/>
        </w:rPr>
        <w:t>енности</w:t>
      </w:r>
      <w:r>
        <w:rPr>
          <w:rFonts w:ascii="Arial" w:hAnsi="Arial"/>
          <w:color w:val="525252"/>
          <w:sz w:val="24"/>
        </w:rPr>
        <w:t xml:space="preserve">. </w:t>
      </w:r>
      <w:r>
        <w:rPr>
          <w:rFonts w:ascii="Arial" w:hAnsi="Arial"/>
          <w:color w:val="525252"/>
          <w:sz w:val="24"/>
        </w:rPr>
        <w:t xml:space="preserve">Очевидно, </w:t>
      </w:r>
      <w:r>
        <w:rPr>
          <w:rFonts w:ascii="Arial" w:hAnsi="Arial"/>
          <w:color w:val="525252"/>
          <w:sz w:val="24"/>
        </w:rPr>
        <w:t xml:space="preserve">одним из переломных моментов в развитии профессионального образования </w:t>
      </w:r>
      <w:r>
        <w:rPr>
          <w:rFonts w:ascii="Arial" w:hAnsi="Arial"/>
          <w:color w:val="525252"/>
          <w:sz w:val="24"/>
        </w:rPr>
        <w:t xml:space="preserve">стали 80-е годы, когда на рынке труда </w:t>
      </w:r>
      <w:r>
        <w:rPr>
          <w:rFonts w:ascii="Arial" w:hAnsi="Arial"/>
          <w:color w:val="525252"/>
          <w:sz w:val="24"/>
        </w:rPr>
        <w:t xml:space="preserve">появилась необходимость в дополнительных </w:t>
      </w:r>
      <w:r>
        <w:rPr>
          <w:rFonts w:ascii="Arial" w:hAnsi="Arial"/>
          <w:color w:val="525252"/>
          <w:sz w:val="24"/>
        </w:rPr>
        <w:t>квалифицир</w:t>
      </w:r>
      <w:r>
        <w:rPr>
          <w:rFonts w:ascii="Arial" w:hAnsi="Arial"/>
          <w:color w:val="525252"/>
          <w:sz w:val="24"/>
        </w:rPr>
        <w:t>ованных</w:t>
      </w:r>
      <w:r>
        <w:rPr>
          <w:rFonts w:ascii="Arial" w:hAnsi="Arial"/>
          <w:color w:val="525252"/>
          <w:sz w:val="24"/>
        </w:rPr>
        <w:t xml:space="preserve"> знания</w:t>
      </w:r>
      <w:r>
        <w:rPr>
          <w:rFonts w:ascii="Arial" w:hAnsi="Arial"/>
          <w:color w:val="525252"/>
          <w:sz w:val="24"/>
        </w:rPr>
        <w:t>х</w:t>
      </w:r>
      <w:r>
        <w:rPr>
          <w:rFonts w:ascii="Arial" w:hAnsi="Arial"/>
          <w:color w:val="525252"/>
          <w:sz w:val="24"/>
        </w:rPr>
        <w:t xml:space="preserve">. Динамика данных переписей (по образованию, росту числа городских жителей) показывала работодателям: спрос на новые специальности и вакансии будет. </w:t>
      </w:r>
    </w:p>
    <w:p w14:paraId="0D000000">
      <w:pPr>
        <w:spacing w:line="276" w:lineRule="auto"/>
        <w:ind w:firstLine="709"/>
        <w:jc w:val="both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 Как изменилась ситуация с ростом числа специалистов с дипломом? «Сейчас в разряд популярных часто попадают высокооплачиваемые профессии и те, спрос на которые стабильно растет: сфера IT, биотехнологии, маркетинга, сетевых коммуникаций. Традиционно замечен спрос на профессии в  области продаж и сферы услуг (водители и т.д.). По всем этим профессиям публикуется больше всего вакансий», — отмечает </w:t>
      </w:r>
      <w:r>
        <w:rPr>
          <w:rFonts w:ascii="Arial" w:hAnsi="Arial"/>
          <w:b w:val="1"/>
          <w:color w:val="525252"/>
          <w:sz w:val="24"/>
        </w:rPr>
        <w:t xml:space="preserve">Людмила Иванова-Швец, доцент базовой кафедры «Развитие человеческого капитала» РЭУ им Г. В. Плеханова.  </w:t>
      </w:r>
    </w:p>
    <w:p w14:paraId="0E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Рынок труда становится более контрастным. Но, судя по данным ВПН-2010, </w:t>
      </w:r>
      <w:r>
        <w:rPr>
          <w:rFonts w:ascii="Arial" w:hAnsi="Arial"/>
          <w:color w:val="525252"/>
          <w:sz w:val="24"/>
        </w:rPr>
        <w:t xml:space="preserve">в дальнейшем мы еще </w:t>
      </w:r>
      <w:r>
        <w:rPr>
          <w:rFonts w:ascii="Arial" w:hAnsi="Arial"/>
          <w:color w:val="525252"/>
          <w:sz w:val="24"/>
        </w:rPr>
        <w:t>увидим рост процентной доли россиян с высшим образованием. Точную картину покажет предстоящая пе</w:t>
      </w:r>
      <w:r>
        <w:rPr>
          <w:rFonts w:ascii="Arial" w:hAnsi="Arial"/>
          <w:color w:val="525252"/>
          <w:sz w:val="24"/>
        </w:rPr>
        <w:t>репись населения</w:t>
      </w:r>
      <w:r>
        <w:rPr>
          <w:rFonts w:ascii="Arial" w:hAnsi="Arial"/>
          <w:color w:val="525252"/>
          <w:sz w:val="24"/>
        </w:rPr>
        <w:t xml:space="preserve"> 2021 года. </w:t>
      </w:r>
      <w:r>
        <w:rPr>
          <w:rFonts w:ascii="Arial" w:hAnsi="Arial"/>
          <w:color w:val="525252"/>
          <w:sz w:val="24"/>
        </w:rPr>
        <w:t>Новые данные, в том числе и об изменениях в составе разных поколений, позволят экспертам сделать некоторые прогнозы и на 30 лет вперед.</w:t>
      </w:r>
    </w:p>
    <w:p w14:paraId="0F000000">
      <w:pPr>
        <w:spacing w:line="276" w:lineRule="auto"/>
        <w:ind w:firstLine="709"/>
        <w:jc w:val="both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color w:val="525252"/>
          <w:sz w:val="24"/>
        </w:rPr>
        <w:t>«С точки зрения теории поколений каждое время определяет свои популярные профессии. Например, сейчас многие дети хотят быть учеными, потому что видят, как нужны новые научные решения. Специальности, требующие высоких технологических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знаний, популярны и у поколения Z, рожденных с 1985 года. Они выбирают урбанистику, архитектору, дизайн. Но на вопросы переписи-89 отвечали представители предыдущего поколения Х, для которых характерны другие ценности. Одна из которых —  «уникальность». Этим можно объяснить и рост популярности в то время нестандартных умственных  специальностей, как наладчик спецоборудования», — поясняет </w:t>
      </w:r>
      <w:r>
        <w:rPr>
          <w:rFonts w:ascii="Arial" w:hAnsi="Arial"/>
          <w:b w:val="1"/>
          <w:color w:val="525252"/>
          <w:sz w:val="24"/>
        </w:rPr>
        <w:t xml:space="preserve">основатель и координатор российской школы теории поколений RuGenerations Евгения Шамис. </w:t>
      </w:r>
    </w:p>
    <w:p w14:paraId="10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«К 2045 году, судя </w:t>
      </w:r>
      <w:r>
        <w:rPr>
          <w:rFonts w:ascii="Arial" w:hAnsi="Arial"/>
          <w:color w:val="525252"/>
          <w:sz w:val="24"/>
        </w:rPr>
        <w:t xml:space="preserve">по </w:t>
      </w:r>
      <w:r>
        <w:rPr>
          <w:rFonts w:ascii="Arial" w:hAnsi="Arial"/>
          <w:color w:val="525252"/>
          <w:sz w:val="24"/>
        </w:rPr>
        <w:t xml:space="preserve">ценностям, характерным для очередного поколения, которое должно походить на послевоенное поколение беби-бумеров (родившихся в 1944-63 годах), вновь будет высокий спрос на инженеров и специалистов с математическим и техническим образованием, ответственных за внедрение больших систем», — делает прогноз эксперт.  Новые данные переписи, возможно, позволят сделать и другие выводы. И, во всяком случае, повлиять на развитие образовательных программ в нашей стране. </w:t>
      </w:r>
    </w:p>
    <w:p w14:paraId="11000000">
      <w:pPr>
        <w:spacing w:line="276" w:lineRule="auto"/>
        <w:ind w:firstLine="709"/>
        <w:jc w:val="both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 «Перепись — это инструмент не только для работы с настоящим. Благодаря получению и сравнению меняющихся через десятилетие точных данных об образовании, источниках дохода, социальном статусе представителей разных возрастных групп, мы можем понимать, какое наше будущее и что в нем будет цениться в первую очередь. Поэтому участие во Всероссийской переписи населения 2021 года — очень важная и нужная штука для каждого. Предстоящая первая цифровая  перепись с сопоставлением разных методов сбора данных, в  том числе  Big Data – это значительный  апдейт калибровки  решений  для  будущего», — отмечает </w:t>
      </w:r>
      <w:r>
        <w:rPr>
          <w:rFonts w:ascii="Arial" w:hAnsi="Arial"/>
          <w:b w:val="1"/>
          <w:color w:val="525252"/>
          <w:sz w:val="24"/>
        </w:rPr>
        <w:t xml:space="preserve">заместитель руководителя Росстата Павел Смелов. </w:t>
      </w:r>
    </w:p>
    <w:p w14:paraId="12000000">
      <w:pPr>
        <w:spacing w:after="0" w:line="276" w:lineRule="auto"/>
        <w:ind/>
        <w:jc w:val="both"/>
        <w:rPr>
          <w:rFonts w:ascii="Arial" w:hAnsi="Arial"/>
          <w:color w:val="595959"/>
          <w:sz w:val="24"/>
        </w:rPr>
      </w:pPr>
    </w:p>
    <w:sectPr>
      <w:headerReference r:id="rId2" w:type="default"/>
      <w:footerReference r:id="rId3" w:type="default"/>
      <w:pgSz w:h="16838" w:w="11906"/>
      <w:pgMar w:bottom="1134" w:footer="397" w:gutter="0" w:header="0" w:left="1701" w:right="127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3.xml><?xml version="1.0" encoding="utf-8"?>
<w:ft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3000000">
    <w:pPr>
      <w:pStyle w:val="Style_2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-91193</wp:posOffset>
          </wp:positionH>
          <wp:positionV relativeFrom="paragraph">
            <wp:posOffset>-38092</wp:posOffset>
          </wp:positionV>
          <wp:extent cx="285750" cy="285750"/>
          <wp:wrapNone/>
          <wp:docPr id="8" name="Picture 8"/>
          <a:graphic>
            <a:graphicData uri="http://schemas.openxmlformats.org/drawingml/2006/picture">
              <pic:pic>
                <pic:nvPicPr>
                  <pic:cNvPr id="7" name="Picture 7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285750" cy="285750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-92710</wp:posOffset>
          </wp:positionH>
          <wp:positionV relativeFrom="paragraph">
            <wp:posOffset>-41275</wp:posOffset>
          </wp:positionV>
          <wp:extent cx="283845" cy="283845"/>
          <wp:wrapNone/>
          <wp:docPr id="10" name="Picture 10"/>
          <a:graphic>
            <a:graphicData uri="http://schemas.openxmlformats.org/drawingml/2006/picture">
              <pic:pic>
                <pic:nvPicPr>
                  <pic:cNvPr id="9" name="Picture 9"/>
                  <pic:cNvPicPr preferRelativeResize="true"/>
                </pic:nvPicPr>
                <pic:blipFill>
                  <a:blip r:embed="rId2" r:link=""/>
                  <a:srcRect b="0" l="0" r="0" t="0"/>
                  <a:stretch/>
                </pic:blipFill>
                <pic:spPr>
                  <a:xfrm flipH="false" flipV="false" rot="0">
                    <a:ext cx="283845" cy="283845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-165735</wp:posOffset>
          </wp:positionH>
          <wp:positionV relativeFrom="paragraph">
            <wp:posOffset>-107315</wp:posOffset>
          </wp:positionV>
          <wp:extent cx="438150" cy="428625"/>
          <wp:wrapNone/>
          <wp:docPr id="12" name="Picture 12"/>
          <a:graphic>
            <a:graphicData uri="http://schemas.openxmlformats.org/drawingml/2006/picture">
              <pic:pic>
                <pic:nvPicPr>
                  <pic:cNvPr id="11" name="Picture 11"/>
                  <pic:cNvPicPr preferRelativeResize="true"/>
                </pic:nvPicPr>
                <pic:blipFill>
                  <a:blip r:embed="rId3" r:link=""/>
                  <a:srcRect b="0" l="0" r="0" t="0"/>
                  <a:stretch/>
                </pic:blipFill>
                <pic:spPr>
                  <a:xfrm flipH="false" flipV="false" rot="0">
                    <a:ext cx="438150" cy="428625"/>
                  </a:xfrm>
                  <a:prstGeom prst="rect"/>
                </pic:spPr>
              </pic:pic>
            </a:graphicData>
          </a:graphic>
        </wp:anchor>
      </w:drawing>
    </w:r>
    <w:r>
      <w:fldChar w:dirty="1"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4000000">
    <w:pPr>
      <w:pStyle w:val="Style_2"/>
    </w:pPr>
  </w:p>
</w:ftr>
</file>

<file path=word/header1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1000000">
    <w:pPr>
      <w:pStyle w:val="Style_1"/>
    </w:pPr>
    <w:r>
      <w:drawing>
        <wp:anchor allowOverlap="true" behindDoc="true" layoutInCell="true" locked="false" relativeHeight="251658240" simplePos="false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23622000" cy="33413700"/>
          <wp:wrapNone/>
          <wp:docPr id="2" name="Picture 2"/>
          <a:graphic>
            <a:graphicData uri="http://schemas.openxmlformats.org/drawingml/2006/picture">
              <pic:pic>
                <pic:nvPicPr>
                  <pic:cNvPr id="1" name="Picture 1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23622000" cy="334137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2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2000000">
    <w:pPr>
      <w:pStyle w:val="Style_1"/>
      <w:ind w:firstLine="0" w:left="-1701"/>
    </w:pPr>
    <w:r>
      <w:drawing>
        <wp:inline>
          <wp:extent cx="4428490" cy="1562735"/>
          <wp:docPr id="4" name="Picture 4"/>
          <a:graphic>
            <a:graphicData uri="http://schemas.openxmlformats.org/drawingml/2006/picture">
              <pic:pic>
                <pic:nvPicPr>
                  <pic:cNvPr id="3" name="Picture 3"/>
                  <pic:cNvPicPr preferRelativeResize="true"/>
                </pic:nvPicPr>
                <pic:blipFill>
                  <a:blip r:embed="rId1" r:link=""/>
                  <a:srcRect b="0" l="0" r="41367" t="0"/>
                  <a:stretch/>
                </pic:blipFill>
                <pic:spPr>
                  <a:xfrm flipH="false" flipV="false" rot="0">
                    <a:ext cx="4428490" cy="1562735"/>
                  </a:xfrm>
                  <a:prstGeom prst="rect"/>
                </pic:spPr>
              </pic:pic>
            </a:graphicData>
          </a:graphic>
        </wp:inline>
      </w:drawing>
    </w:r>
    <w:r>
      <w:drawing>
        <wp:anchor allowOverlap="true" behindDoc="true" layoutInCell="true" locked="false" relativeHeight="251658240" simplePos="false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23622000" cy="33413700"/>
          <wp:wrapNone/>
          <wp:docPr id="6" name="Picture 6"/>
          <a:graphic>
            <a:graphicData uri="http://schemas.openxmlformats.org/drawingml/2006/picture">
              <pic:pic>
                <pic:nvPicPr>
                  <pic:cNvPr id="5" name="Picture 5"/>
                  <pic:cNvPicPr preferRelativeResize="true"/>
                </pic:nvPicPr>
                <pic:blipFill>
                  <a:blip r:embed="rId2" r:link=""/>
                  <a:srcRect b="0" l="0" r="0" t="0"/>
                  <a:stretch/>
                </pic:blipFill>
                <pic:spPr>
                  <a:xfrm flipH="false" flipV="false" rot="0">
                    <a:ext cx="23622000" cy="33413700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Normal (Web)"/>
    <w:basedOn w:val="Style_3"/>
    <w:link w:val="Style_4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4_ch" w:type="character">
    <w:name w:val="Normal (Web)"/>
    <w:basedOn w:val="Style_3_ch"/>
    <w:link w:val="Style_4"/>
    <w:rPr>
      <w:rFonts w:ascii="Times New Roman" w:hAnsi="Times New Roman"/>
      <w:sz w:val="24"/>
    </w:rPr>
  </w:style>
  <w:style w:styleId="Style_5" w:type="paragraph">
    <w:name w:val="toc 2"/>
    <w:next w:val="Style_3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List Paragraph"/>
    <w:basedOn w:val="Style_3"/>
    <w:link w:val="Style_9_ch"/>
    <w:pPr>
      <w:ind w:firstLine="0" w:left="720"/>
      <w:contextualSpacing w:val="1"/>
    </w:pPr>
  </w:style>
  <w:style w:styleId="Style_9_ch" w:type="character">
    <w:name w:val="List Paragraph"/>
    <w:basedOn w:val="Style_3_ch"/>
    <w:link w:val="Style_9"/>
  </w:style>
  <w:style w:styleId="Style_10" w:type="paragraph">
    <w:name w:val="heading 3"/>
    <w:next w:val="Style_3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annotation text"/>
    <w:basedOn w:val="Style_3"/>
    <w:link w:val="Style_11_ch"/>
    <w:pPr>
      <w:spacing w:line="240" w:lineRule="auto"/>
      <w:ind/>
    </w:pPr>
    <w:rPr>
      <w:sz w:val="20"/>
    </w:rPr>
  </w:style>
  <w:style w:styleId="Style_11_ch" w:type="character">
    <w:name w:val="annotation text"/>
    <w:basedOn w:val="Style_3_ch"/>
    <w:link w:val="Style_11"/>
    <w:rPr>
      <w:sz w:val="20"/>
    </w:rPr>
  </w:style>
  <w:style w:styleId="Style_12" w:type="paragraph">
    <w:name w:val="toc 3"/>
    <w:next w:val="Style_3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annotation reference"/>
    <w:basedOn w:val="Style_14"/>
    <w:link w:val="Style_13_ch"/>
    <w:rPr>
      <w:sz w:val="16"/>
    </w:rPr>
  </w:style>
  <w:style w:styleId="Style_13_ch" w:type="character">
    <w:name w:val="annotation reference"/>
    <w:basedOn w:val="Style_14_ch"/>
    <w:link w:val="Style_13"/>
    <w:rPr>
      <w:sz w:val="16"/>
    </w:rPr>
  </w:style>
  <w:style w:styleId="Style_15" w:type="paragraph">
    <w:name w:val="heading 5"/>
    <w:next w:val="Style_3"/>
    <w:link w:val="Style_15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5_ch" w:type="character">
    <w:name w:val="heading 5"/>
    <w:link w:val="Style_15"/>
    <w:rPr>
      <w:rFonts w:ascii="XO Thames" w:hAnsi="XO Thames"/>
      <w:b w:val="1"/>
      <w:color w:val="000000"/>
      <w:sz w:val="22"/>
    </w:rPr>
  </w:style>
  <w:style w:styleId="Style_16" w:type="paragraph">
    <w:name w:val="heading 1"/>
    <w:next w:val="Style_3"/>
    <w:link w:val="Style_16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link w:val="Style_17_ch"/>
    <w:semiHidden w:val="1"/>
    <w:unhideWhenUsed w:val="1"/>
    <w:pPr>
      <w:spacing w:after="0" w:line="240" w:lineRule="auto"/>
      <w:ind/>
    </w:pPr>
  </w:style>
  <w:style w:styleId="Style_17_ch" w:type="character">
    <w:link w:val="Style_17"/>
    <w:semiHidden w:val="1"/>
    <w:unhideWhenUsed w:val="1"/>
  </w:style>
  <w:style w:styleId="Style_18" w:type="paragraph">
    <w:name w:val="Balloon Text"/>
    <w:basedOn w:val="Style_3"/>
    <w:link w:val="Style_18_ch"/>
    <w:pPr>
      <w:spacing w:after="0" w:line="240" w:lineRule="auto"/>
      <w:ind/>
    </w:pPr>
    <w:rPr>
      <w:rFonts w:ascii="Segoe UI" w:hAnsi="Segoe UI"/>
      <w:sz w:val="18"/>
    </w:rPr>
  </w:style>
  <w:style w:styleId="Style_18_ch" w:type="character">
    <w:name w:val="Balloon Text"/>
    <w:basedOn w:val="Style_3_ch"/>
    <w:link w:val="Style_18"/>
    <w:rPr>
      <w:rFonts w:ascii="Segoe UI" w:hAnsi="Segoe UI"/>
      <w:sz w:val="18"/>
    </w:rPr>
  </w:style>
  <w:style w:styleId="Style_19" w:type="paragraph">
    <w:name w:val="Hyperlink"/>
    <w:link w:val="Style_19_ch"/>
    <w:rPr>
      <w:color w:val="0563C1"/>
      <w:u w:val="single"/>
    </w:rPr>
  </w:style>
  <w:style w:styleId="Style_19_ch" w:type="character">
    <w:name w:val="Hyperlink"/>
    <w:link w:val="Style_19"/>
    <w:rPr>
      <w:color w:val="0563C1"/>
      <w:u w:val="single"/>
    </w:rPr>
  </w:style>
  <w:style w:styleId="Style_20" w:type="paragraph">
    <w:name w:val="Footnote"/>
    <w:link w:val="Style_20_ch"/>
    <w:pPr>
      <w:ind/>
      <w:jc w:val="left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toc 1"/>
    <w:next w:val="Style_3"/>
    <w:link w:val="Style_21_ch"/>
    <w:uiPriority w:val="39"/>
    <w:pPr>
      <w:ind w:firstLine="0" w:left="0"/>
    </w:pPr>
    <w:rPr>
      <w:rFonts w:ascii="XO Thames" w:hAnsi="XO Thames"/>
      <w:b w:val="1"/>
    </w:rPr>
  </w:style>
  <w:style w:styleId="Style_21_ch" w:type="character">
    <w:name w:val="toc 1"/>
    <w:link w:val="Style_21"/>
    <w:rPr>
      <w:rFonts w:ascii="XO Thames" w:hAnsi="XO Thames"/>
      <w:b w:val="1"/>
    </w:rPr>
  </w:style>
  <w:style w:styleId="Style_22" w:type="paragraph">
    <w:name w:val="formattext"/>
    <w:basedOn w:val="Style_3"/>
    <w:link w:val="Style_2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2_ch" w:type="character">
    <w:name w:val="formattext"/>
    <w:basedOn w:val="Style_3_ch"/>
    <w:link w:val="Style_22"/>
    <w:rPr>
      <w:rFonts w:ascii="Times New Roman" w:hAnsi="Times New Roman"/>
      <w:sz w:val="24"/>
    </w:rPr>
  </w:style>
  <w:style w:styleId="Style_23" w:type="paragraph">
    <w:name w:val="Header and Footer"/>
    <w:link w:val="Style_23_ch"/>
    <w:pPr>
      <w:spacing w:line="360" w:lineRule="auto"/>
      <w:ind/>
    </w:pPr>
    <w:rPr>
      <w:rFonts w:ascii="XO Thames" w:hAnsi="XO Thames"/>
      <w:sz w:val="20"/>
    </w:rPr>
  </w:style>
  <w:style w:styleId="Style_23_ch" w:type="character">
    <w:name w:val="Header and Footer"/>
    <w:link w:val="Style_23"/>
    <w:rPr>
      <w:rFonts w:ascii="XO Thames" w:hAnsi="XO Thames"/>
      <w:sz w:val="20"/>
    </w:rPr>
  </w:style>
  <w:style w:styleId="Style_24" w:type="paragraph">
    <w:name w:val="toc 9"/>
    <w:next w:val="Style_3"/>
    <w:link w:val="Style_24_ch"/>
    <w:uiPriority w:val="39"/>
    <w:pPr>
      <w:ind w:firstLine="0" w:left="1600"/>
    </w:pPr>
  </w:style>
  <w:style w:styleId="Style_24_ch" w:type="character">
    <w:name w:val="toc 9"/>
    <w:link w:val="Style_24"/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25" w:type="paragraph">
    <w:name w:val="toc 8"/>
    <w:next w:val="Style_3"/>
    <w:link w:val="Style_25_ch"/>
    <w:uiPriority w:val="39"/>
    <w:pPr>
      <w:ind w:firstLine="0" w:left="1400"/>
    </w:pPr>
  </w:style>
  <w:style w:styleId="Style_25_ch" w:type="character">
    <w:name w:val="toc 8"/>
    <w:link w:val="Style_25"/>
  </w:style>
  <w:style w:styleId="Style_26" w:type="paragraph">
    <w:name w:val="toc 5"/>
    <w:next w:val="Style_3"/>
    <w:link w:val="Style_26_ch"/>
    <w:uiPriority w:val="39"/>
    <w:pPr>
      <w:ind w:firstLine="0" w:left="800"/>
    </w:pPr>
  </w:style>
  <w:style w:styleId="Style_26_ch" w:type="character">
    <w:name w:val="toc 5"/>
    <w:link w:val="Style_26"/>
  </w:style>
  <w:style w:styleId="Style_27" w:type="paragraph">
    <w:name w:val="FollowedHyperlink"/>
    <w:basedOn w:val="Style_14"/>
    <w:link w:val="Style_27_ch"/>
    <w:rPr>
      <w:color w:themeColor="followedHyperlink" w:val="954F72"/>
      <w:u w:val="single"/>
    </w:rPr>
  </w:style>
  <w:style w:styleId="Style_27_ch" w:type="character">
    <w:name w:val="FollowedHyperlink"/>
    <w:basedOn w:val="Style_14_ch"/>
    <w:link w:val="Style_27"/>
    <w:rPr>
      <w:color w:themeColor="followedHyperlink" w:val="954F72"/>
      <w:u w:val="single"/>
    </w:rPr>
  </w:style>
  <w:style w:styleId="Style_28" w:type="paragraph">
    <w:name w:val="No Spacing"/>
    <w:link w:val="Style_28_ch"/>
    <w:pPr>
      <w:spacing w:after="0" w:line="240" w:lineRule="auto"/>
      <w:ind/>
    </w:pPr>
  </w:style>
  <w:style w:styleId="Style_28_ch" w:type="character">
    <w:name w:val="No Spacing"/>
    <w:link w:val="Style_28"/>
  </w:style>
  <w:style w:styleId="Style_29" w:type="paragraph">
    <w:name w:val="annotation subject"/>
    <w:basedOn w:val="Style_11"/>
    <w:next w:val="Style_11"/>
    <w:link w:val="Style_29_ch"/>
    <w:rPr>
      <w:b w:val="1"/>
    </w:rPr>
  </w:style>
  <w:style w:styleId="Style_29_ch" w:type="character">
    <w:name w:val="annotation subject"/>
    <w:basedOn w:val="Style_11_ch"/>
    <w:link w:val="Style_29"/>
    <w:rPr>
      <w:b w:val="1"/>
    </w:rPr>
  </w:style>
  <w:style w:styleId="Style_1" w:type="paragraph">
    <w:name w:val="header"/>
    <w:basedOn w:val="Style_3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3_ch"/>
    <w:link w:val="Style_1"/>
  </w:style>
  <w:style w:styleId="Style_30" w:type="paragraph">
    <w:name w:val="Subtitle"/>
    <w:next w:val="Style_3"/>
    <w:link w:val="Style_30_ch"/>
    <w:uiPriority w:val="11"/>
    <w:qFormat/>
    <w:rPr>
      <w:rFonts w:ascii="XO Thames" w:hAnsi="XO Thames"/>
      <w:i w:val="1"/>
      <w:color w:val="616161"/>
      <w:sz w:val="24"/>
    </w:rPr>
  </w:style>
  <w:style w:styleId="Style_30_ch" w:type="character">
    <w:name w:val="Subtitle"/>
    <w:link w:val="Style_30"/>
    <w:rPr>
      <w:rFonts w:ascii="XO Thames" w:hAnsi="XO Thames"/>
      <w:i w:val="1"/>
      <w:color w:val="616161"/>
      <w:sz w:val="24"/>
    </w:rPr>
  </w:style>
  <w:style w:styleId="Style_2" w:type="paragraph">
    <w:name w:val="footer"/>
    <w:basedOn w:val="Style_3"/>
    <w:link w:val="Style_2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3_ch"/>
    <w:link w:val="Style_2"/>
  </w:style>
  <w:style w:styleId="Style_31" w:type="paragraph">
    <w:name w:val="toc 10"/>
    <w:next w:val="Style_3"/>
    <w:link w:val="Style_31_ch"/>
    <w:uiPriority w:val="39"/>
    <w:pPr>
      <w:ind w:firstLine="0" w:left="1800"/>
    </w:pPr>
  </w:style>
  <w:style w:styleId="Style_31_ch" w:type="character">
    <w:name w:val="toc 10"/>
    <w:link w:val="Style_31"/>
  </w:style>
  <w:style w:styleId="Style_32" w:type="paragraph">
    <w:name w:val="Title"/>
    <w:next w:val="Style_3"/>
    <w:link w:val="Style_32_ch"/>
    <w:uiPriority w:val="10"/>
    <w:qFormat/>
    <w:rPr>
      <w:rFonts w:ascii="XO Thames" w:hAnsi="XO Thames"/>
      <w:b w:val="1"/>
      <w:sz w:val="52"/>
    </w:rPr>
  </w:style>
  <w:style w:styleId="Style_32_ch" w:type="character">
    <w:name w:val="Title"/>
    <w:link w:val="Style_32"/>
    <w:rPr>
      <w:rFonts w:ascii="XO Thames" w:hAnsi="XO Thames"/>
      <w:b w:val="1"/>
      <w:sz w:val="52"/>
    </w:rPr>
  </w:style>
  <w:style w:styleId="Style_33" w:type="paragraph">
    <w:name w:val="heading 4"/>
    <w:next w:val="Style_3"/>
    <w:link w:val="Style_33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33_ch" w:type="character">
    <w:name w:val="heading 4"/>
    <w:link w:val="Style_33"/>
    <w:rPr>
      <w:rFonts w:ascii="XO Thames" w:hAnsi="XO Thames"/>
      <w:b w:val="1"/>
      <w:color w:val="595959"/>
      <w:sz w:val="26"/>
    </w:rPr>
  </w:style>
  <w:style w:styleId="Style_34" w:type="paragraph">
    <w:name w:val="heading 2"/>
    <w:next w:val="Style_3"/>
    <w:link w:val="Style_34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34_ch" w:type="character">
    <w:name w:val="heading 2"/>
    <w:link w:val="Style_34"/>
    <w:rPr>
      <w:rFonts w:ascii="XO Thames" w:hAnsi="XO Thames"/>
      <w:b w:val="1"/>
      <w:color w:val="00A0FF"/>
      <w:sz w:val="26"/>
    </w:rPr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stylesWithEffects.xml" Type="http://schemas.microsoft.com/office/2007/relationships/stylesWithEffects"/>
  <Relationship Id="rId6" Target="styles.xml" Type="http://schemas.openxmlformats.org/officeDocument/2006/relationships/styles"/>
  <Relationship Id="rId9" Target="theme/theme1.xml" Type="http://schemas.openxmlformats.org/officeDocument/2006/relationships/theme"/>
  <Relationship Id="rId5" Target="settings.xml" Type="http://schemas.openxmlformats.org/officeDocument/2006/relationships/settings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3" Target="footer3.xml" Type="http://schemas.openxmlformats.org/officeDocument/2006/relationships/footer"/>
  <Relationship Id="rId2" Target="header2.xml" Type="http://schemas.openxmlformats.org/officeDocument/2006/relationships/header"/>
  <Relationship Id="rId1" Target="header1.xml" Type="http://schemas.openxmlformats.org/officeDocument/2006/relationships/header"/>
</Relationships>

</file>

<file path=word/_rels/footer3.xml.rels><?xml version="1.0" encoding="UTF-8" standalone="no" ?>
<Relationships xmlns="http://schemas.openxmlformats.org/package/2006/relationships">
  <Relationship Id="rId3" Target="media/6.emf" Type="http://schemas.openxmlformats.org/officeDocument/2006/relationships/image"/>
  <Relationship Id="rId2" Target="media/5.emf" Type="http://schemas.openxmlformats.org/officeDocument/2006/relationships/image"/>
  <Relationship Id="rId1" Target="media/4.emf" Type="http://schemas.openxmlformats.org/officeDocument/2006/relationships/image"/>
</Relationships>

</file>

<file path=word/_rels/header1.xml.rels><?xml version="1.0" encoding="UTF-8" standalone="no" ?>
<Relationships xmlns="http://schemas.openxmlformats.org/package/2006/relationships">
  <Relationship Id="rId1" Target="media/1.png" Type="http://schemas.openxmlformats.org/officeDocument/2006/relationships/image"/>
</Relationships>

</file>

<file path=word/_rels/header2.xml.rels><?xml version="1.0" encoding="UTF-8" standalone="no" ?>
<Relationships xmlns="http://schemas.openxmlformats.org/package/2006/relationships">
  <Relationship Id="rId2" Target="media/3.png" Type="http://schemas.openxmlformats.org/officeDocument/2006/relationships/image"/>
  <Relationship Id="rId1" Target="media/2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core.xml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MyOffice-CoreFramework-Windows/21.1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2021-01-25T11:56:07Z</dcterms:modified>
</cp:coreProperties>
</file>