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761CA3" w:rsidRDefault="002B6F27">
      <w:pPr>
        <w:ind w:firstLine="709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Меры поддержки бизнеса в Республике Мордовия</w:t>
      </w:r>
    </w:p>
    <w:p w:rsidR="00761CA3" w:rsidRDefault="00761CA3">
      <w:pPr>
        <w:ind w:firstLine="709"/>
        <w:jc w:val="both"/>
        <w:rPr>
          <w:sz w:val="26"/>
          <w:szCs w:val="26"/>
        </w:rPr>
      </w:pPr>
    </w:p>
    <w:p w:rsidR="00761CA3" w:rsidRDefault="002B6F27">
      <w:pPr>
        <w:ind w:firstLine="709"/>
        <w:jc w:val="both"/>
        <w:rPr>
          <w:sz w:val="26"/>
          <w:szCs w:val="26"/>
          <w:u w:val="single"/>
        </w:rPr>
      </w:pPr>
      <w:r>
        <w:rPr>
          <w:i/>
          <w:iCs/>
          <w:sz w:val="26"/>
          <w:szCs w:val="26"/>
          <w:u w:val="single"/>
        </w:rPr>
        <w:t>Федеральные меры поддержки</w:t>
      </w:r>
    </w:p>
    <w:p w:rsidR="00761CA3" w:rsidRDefault="002B6F27">
      <w:pPr>
        <w:ind w:firstLine="709"/>
        <w:jc w:val="both"/>
        <w:rPr>
          <w:sz w:val="26"/>
          <w:szCs w:val="26"/>
        </w:rPr>
      </w:pPr>
      <w:r>
        <w:rPr>
          <w:color w:val="212529"/>
          <w:sz w:val="26"/>
          <w:szCs w:val="26"/>
        </w:rPr>
        <w:t xml:space="preserve">В настоящее время по поручению Президента предусмотрены </w:t>
      </w:r>
      <w:r>
        <w:rPr>
          <w:b/>
          <w:bCs/>
          <w:color w:val="212529"/>
          <w:sz w:val="26"/>
          <w:szCs w:val="26"/>
        </w:rPr>
        <w:t>единовременные гранты</w:t>
      </w:r>
      <w:r>
        <w:rPr>
          <w:color w:val="212529"/>
          <w:sz w:val="26"/>
          <w:szCs w:val="26"/>
        </w:rPr>
        <w:t xml:space="preserve"> из расчета 1 МРОТ (12 792 рубля) на одного сотрудника или на одного индивидуального предпринимателя без работников на поддержку в период режима выходных дней.</w:t>
      </w:r>
    </w:p>
    <w:p w:rsidR="00761CA3" w:rsidRDefault="002B6F27">
      <w:pPr>
        <w:ind w:firstLine="709"/>
        <w:jc w:val="both"/>
        <w:rPr>
          <w:sz w:val="26"/>
          <w:szCs w:val="26"/>
        </w:rPr>
      </w:pPr>
      <w:r>
        <w:rPr>
          <w:color w:val="212529"/>
          <w:sz w:val="26"/>
          <w:szCs w:val="26"/>
        </w:rPr>
        <w:t>Важно отметить, что бизнес будет освобожден от налогов с грантов и если предприниматель решит на</w:t>
      </w:r>
      <w:r>
        <w:rPr>
          <w:color w:val="212529"/>
          <w:sz w:val="26"/>
          <w:szCs w:val="26"/>
        </w:rPr>
        <w:t>править грант на зарплаты сотрудникам, ему не придется платить НДФЛ и страховые взносы.</w:t>
      </w:r>
    </w:p>
    <w:p w:rsidR="00761CA3" w:rsidRDefault="002B6F27">
      <w:pPr>
        <w:ind w:firstLine="709"/>
        <w:jc w:val="both"/>
        <w:rPr>
          <w:sz w:val="26"/>
          <w:szCs w:val="26"/>
        </w:rPr>
      </w:pPr>
      <w:r>
        <w:rPr>
          <w:color w:val="212529"/>
          <w:sz w:val="26"/>
          <w:szCs w:val="26"/>
        </w:rPr>
        <w:t>Гранты, как и в прошлом году, предоставляются по заявительному принципу. То есть необходимо подать заявление через личный кабинет на сайте ФНС, ТКС либо на бумажном нос</w:t>
      </w:r>
      <w:r>
        <w:rPr>
          <w:color w:val="212529"/>
          <w:sz w:val="26"/>
          <w:szCs w:val="26"/>
        </w:rPr>
        <w:t>ителе. Период подачи заявлений — с 1 ноября этого года. Выплаты начнут осуществляться с 15 ноября до конца 2021 года. Деньги придут в течение 8 дней.</w:t>
      </w:r>
    </w:p>
    <w:p w:rsidR="00761CA3" w:rsidRDefault="002B6F27">
      <w:pPr>
        <w:ind w:firstLine="709"/>
        <w:jc w:val="both"/>
        <w:rPr>
          <w:sz w:val="26"/>
          <w:szCs w:val="26"/>
        </w:rPr>
      </w:pPr>
      <w:r>
        <w:rPr>
          <w:color w:val="222222"/>
          <w:sz w:val="26"/>
          <w:szCs w:val="26"/>
        </w:rPr>
        <w:t>Выплаты смогут получить предприятия, которые работают в пострадавших отраслях экономики (спорт, гостиничны</w:t>
      </w:r>
      <w:r>
        <w:rPr>
          <w:color w:val="222222"/>
          <w:sz w:val="26"/>
          <w:szCs w:val="26"/>
        </w:rPr>
        <w:t>й бизнес, общепит, допобразование, бытовые услуги, культура, организация досуга и развлечений, стоматологическая практика и др.*) а также социально ориентированные НКО из реестров Минэкономразвития России.</w:t>
      </w:r>
    </w:p>
    <w:p w:rsidR="00761CA3" w:rsidRDefault="002B6F27">
      <w:pPr>
        <w:ind w:firstLine="709"/>
        <w:jc w:val="both"/>
        <w:rPr>
          <w:i/>
          <w:iCs/>
          <w:sz w:val="20"/>
        </w:rPr>
      </w:pPr>
      <w:r>
        <w:rPr>
          <w:i/>
          <w:iCs/>
          <w:color w:val="222222"/>
          <w:sz w:val="20"/>
        </w:rPr>
        <w:t xml:space="preserve">*Полный перечень отраслей по грантам </w:t>
      </w:r>
      <w:r>
        <w:rPr>
          <w:i/>
          <w:iCs/>
          <w:color w:val="222222"/>
          <w:sz w:val="20"/>
        </w:rPr>
        <w:t>определен</w:t>
      </w:r>
      <w:r>
        <w:rPr>
          <w:i/>
          <w:iCs/>
          <w:color w:val="222222"/>
          <w:sz w:val="20"/>
        </w:rPr>
        <w:t xml:space="preserve"> Пос</w:t>
      </w:r>
      <w:r>
        <w:rPr>
          <w:i/>
          <w:iCs/>
          <w:color w:val="222222"/>
          <w:sz w:val="20"/>
        </w:rPr>
        <w:t>тановлением Правительства Российской Федерации от 7 сентября 2021 г. № 1513 «Об утверждении Правил предоставления из федерального бюджета субсидий субъектам МСП и СОНКО в условиях ухудшения ситуации в результате распространения коронавирусной инфекции».</w:t>
      </w:r>
    </w:p>
    <w:p w:rsidR="00761CA3" w:rsidRDefault="00761CA3">
      <w:pPr>
        <w:ind w:firstLine="709"/>
        <w:jc w:val="both"/>
        <w:rPr>
          <w:sz w:val="26"/>
          <w:szCs w:val="26"/>
        </w:rPr>
      </w:pPr>
    </w:p>
    <w:p w:rsidR="00761CA3" w:rsidRDefault="002B6F27">
      <w:pPr>
        <w:pStyle w:val="a5"/>
        <w:spacing w:after="0" w:line="240" w:lineRule="auto"/>
        <w:ind w:firstLine="709"/>
        <w:jc w:val="both"/>
        <w:rPr>
          <w:color w:val="111111"/>
          <w:sz w:val="26"/>
          <w:szCs w:val="26"/>
        </w:rPr>
      </w:pPr>
      <w:r>
        <w:rPr>
          <w:color w:val="111111"/>
          <w:sz w:val="26"/>
          <w:szCs w:val="26"/>
        </w:rPr>
        <w:t xml:space="preserve">С ноября по декабрь 2021 года для субъектов МСП и СОНКО  возобновлена выдача льготных кредитов по ставке 3% годовых (второй этап программы кредитования </w:t>
      </w:r>
      <w:r>
        <w:rPr>
          <w:b/>
          <w:bCs/>
          <w:color w:val="111111"/>
          <w:sz w:val="26"/>
          <w:szCs w:val="26"/>
        </w:rPr>
        <w:t>«ФОТ 3.0»</w:t>
      </w:r>
      <w:r>
        <w:rPr>
          <w:color w:val="111111"/>
          <w:sz w:val="26"/>
          <w:szCs w:val="26"/>
        </w:rPr>
        <w:t>).</w:t>
      </w:r>
    </w:p>
    <w:p w:rsidR="00761CA3" w:rsidRDefault="002B6F27">
      <w:pPr>
        <w:pStyle w:val="a5"/>
        <w:spacing w:after="0" w:line="240" w:lineRule="auto"/>
        <w:ind w:firstLine="709"/>
        <w:jc w:val="both"/>
        <w:rPr>
          <w:sz w:val="26"/>
          <w:szCs w:val="26"/>
        </w:rPr>
      </w:pPr>
      <w:r>
        <w:rPr>
          <w:color w:val="111111"/>
          <w:sz w:val="26"/>
          <w:szCs w:val="26"/>
        </w:rPr>
        <w:t>Получить поддержку смогут кинотеатры, музеи, зоопарки, спортивные организации и фитнес-центр</w:t>
      </w:r>
      <w:r>
        <w:rPr>
          <w:color w:val="111111"/>
          <w:sz w:val="26"/>
          <w:szCs w:val="26"/>
        </w:rPr>
        <w:t>ы, санатории, турагентства, гостиницы, предприятия общепита, парикмахерские и салоны красоты, химчистки а также компании, которые занимаются организацией досуга, отдыха, развлечений и мероприятий* – юридические лица и ИП. Ключевое условие программы – сохра</w:t>
      </w:r>
      <w:r>
        <w:rPr>
          <w:color w:val="111111"/>
          <w:sz w:val="26"/>
          <w:szCs w:val="26"/>
        </w:rPr>
        <w:t>нение численности работников на уровне не ниже 90%. Этот показатель будет контролироваться через данные ФНС на основе ежеквартальной отчетности по форме РСВ.</w:t>
      </w:r>
    </w:p>
    <w:p w:rsidR="00761CA3" w:rsidRDefault="002B6F27">
      <w:pPr>
        <w:pStyle w:val="a5"/>
        <w:spacing w:after="0" w:line="240" w:lineRule="auto"/>
        <w:ind w:firstLine="709"/>
        <w:jc w:val="both"/>
        <w:rPr>
          <w:sz w:val="26"/>
          <w:szCs w:val="26"/>
        </w:rPr>
      </w:pPr>
      <w:r>
        <w:rPr>
          <w:color w:val="111111"/>
          <w:sz w:val="26"/>
          <w:szCs w:val="26"/>
        </w:rPr>
        <w:t>Кредиты по льготной ставке будут выдаваться заёмщикам, которые участвовали в программе «ФОТ 2.0» и</w:t>
      </w:r>
      <w:r>
        <w:rPr>
          <w:color w:val="111111"/>
          <w:sz w:val="26"/>
          <w:szCs w:val="26"/>
        </w:rPr>
        <w:t xml:space="preserve">ли «ФОТ 3.0», СОНКО из реестров Минэкономразвития России и начинающим предприятиям, созданным с 1 июля 2020 года. </w:t>
      </w:r>
      <w:r>
        <w:rPr>
          <w:color w:val="000000"/>
          <w:sz w:val="26"/>
          <w:szCs w:val="26"/>
        </w:rPr>
        <w:t>Максимальная сумма кредита рассчитывается исходя из 1 МРОТ каждому работнику предприятия в течение 12 месяцев. Кредиты выдаются под государств</w:t>
      </w:r>
      <w:r>
        <w:rPr>
          <w:color w:val="000000"/>
          <w:sz w:val="26"/>
          <w:szCs w:val="26"/>
        </w:rPr>
        <w:t>енные гарантии сроком на 18 месяцев без залога. В первые 6 месяцев предусмотрен льготный период с освобождением от выплаты кредита и процентов по нему, а в течение последующих 12 месяцев заемщик сможет возвращать кредит и проценты равными долями.</w:t>
      </w:r>
      <w:r>
        <w:rPr>
          <w:sz w:val="26"/>
          <w:szCs w:val="26"/>
        </w:rPr>
        <w:t xml:space="preserve"> </w:t>
      </w:r>
    </w:p>
    <w:p w:rsidR="00761CA3" w:rsidRDefault="002B6F27">
      <w:pPr>
        <w:pStyle w:val="a5"/>
        <w:spacing w:after="0" w:line="24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* </w:t>
      </w:r>
      <w:r>
        <w:rPr>
          <w:i/>
          <w:iCs/>
          <w:color w:val="222222"/>
          <w:sz w:val="20"/>
        </w:rPr>
        <w:t>Полный</w:t>
      </w:r>
      <w:r>
        <w:rPr>
          <w:i/>
          <w:iCs/>
          <w:color w:val="222222"/>
          <w:sz w:val="20"/>
        </w:rPr>
        <w:t xml:space="preserve"> перечень отраслей программы «ФОТ 3.0» закреплен Постановлением Правительства Российской Федерации от 27 февраля 2021 г. № 279 «Об утверждении Правил предоставления субсидий из федерального бюджета российским кредитным организациям на возмещение недополуче</w:t>
      </w:r>
      <w:r>
        <w:rPr>
          <w:i/>
          <w:iCs/>
          <w:color w:val="222222"/>
          <w:sz w:val="20"/>
        </w:rPr>
        <w:t>нных ими доходов по кредитам, выданным в 2021 году юридическим лицам и индивидуальным предпринимателям на восстановление предпринимательской деятельности».</w:t>
      </w:r>
    </w:p>
    <w:p w:rsidR="00761CA3" w:rsidRDefault="00761CA3">
      <w:pPr>
        <w:pStyle w:val="a5"/>
        <w:spacing w:after="0" w:line="240" w:lineRule="auto"/>
        <w:rPr>
          <w:sz w:val="26"/>
          <w:szCs w:val="26"/>
        </w:rPr>
      </w:pPr>
    </w:p>
    <w:p w:rsidR="00761CA3" w:rsidRDefault="002B6F27">
      <w:pPr>
        <w:ind w:firstLine="709"/>
        <w:jc w:val="both"/>
        <w:rPr>
          <w:i/>
          <w:iCs/>
          <w:sz w:val="26"/>
          <w:szCs w:val="26"/>
          <w:u w:val="single"/>
        </w:rPr>
      </w:pPr>
      <w:r>
        <w:rPr>
          <w:i/>
          <w:iCs/>
          <w:color w:val="222222"/>
          <w:sz w:val="26"/>
          <w:szCs w:val="26"/>
          <w:u w:val="single"/>
        </w:rPr>
        <w:t>Региональные меры поддержки</w:t>
      </w:r>
    </w:p>
    <w:p w:rsidR="00761CA3" w:rsidRDefault="002B6F27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целях поддержки субъектов </w:t>
      </w:r>
      <w:r>
        <w:rPr>
          <w:color w:val="000000"/>
          <w:sz w:val="26"/>
          <w:szCs w:val="26"/>
        </w:rPr>
        <w:t>МСП</w:t>
      </w:r>
      <w:r>
        <w:rPr>
          <w:sz w:val="26"/>
          <w:szCs w:val="26"/>
        </w:rPr>
        <w:t xml:space="preserve"> в условиях ухудшения экономической ситу</w:t>
      </w:r>
      <w:r>
        <w:rPr>
          <w:sz w:val="26"/>
          <w:szCs w:val="26"/>
        </w:rPr>
        <w:t>ации, связанной с распространением новой коронавирусной инфекции (</w:t>
      </w:r>
      <w:r>
        <w:rPr>
          <w:sz w:val="26"/>
          <w:szCs w:val="26"/>
          <w:lang w:val="en-US"/>
        </w:rPr>
        <w:t>COVID</w:t>
      </w:r>
      <w:r>
        <w:rPr>
          <w:sz w:val="26"/>
          <w:szCs w:val="26"/>
        </w:rPr>
        <w:t xml:space="preserve">-19) в 2021 году продолжается предоставление дополнительных мер по снижению нагрузки для субъектов МСП, в том числе действующих заемщиков, у которых возникнут трудности с оплатой текущих платежей по взятым обязательствам в виде </w:t>
      </w:r>
      <w:r>
        <w:rPr>
          <w:b/>
          <w:bCs/>
          <w:i/>
          <w:iCs/>
          <w:sz w:val="26"/>
          <w:szCs w:val="26"/>
        </w:rPr>
        <w:t>отсрочки погашения основного</w:t>
      </w:r>
      <w:r>
        <w:rPr>
          <w:b/>
          <w:bCs/>
          <w:i/>
          <w:iCs/>
          <w:sz w:val="26"/>
          <w:szCs w:val="26"/>
        </w:rPr>
        <w:t xml:space="preserve"> долга на конец срока действия займа и реструктуризации (изменения) графика платежей в связи с уменьшением размера очередного платежа по основному долгу</w:t>
      </w:r>
      <w:r>
        <w:rPr>
          <w:sz w:val="26"/>
          <w:szCs w:val="26"/>
        </w:rPr>
        <w:t>.</w:t>
      </w:r>
    </w:p>
    <w:p w:rsidR="00761CA3" w:rsidRDefault="002B6F27">
      <w:pPr>
        <w:pStyle w:val="a9"/>
        <w:tabs>
          <w:tab w:val="left" w:pos="2340"/>
        </w:tabs>
        <w:ind w:firstLine="709"/>
        <w:jc w:val="both"/>
        <w:rPr>
          <w:bCs/>
          <w:color w:val="000000"/>
          <w:sz w:val="26"/>
          <w:szCs w:val="26"/>
        </w:rPr>
      </w:pPr>
      <w:r>
        <w:rPr>
          <w:bCs/>
          <w:color w:val="000000"/>
          <w:sz w:val="26"/>
          <w:szCs w:val="26"/>
        </w:rPr>
        <w:t>Поддержка оказывается в виде отсрочки погашения основного долга на конец срока действия займа, реструк</w:t>
      </w:r>
      <w:r>
        <w:rPr>
          <w:bCs/>
          <w:color w:val="000000"/>
          <w:sz w:val="26"/>
          <w:szCs w:val="26"/>
        </w:rPr>
        <w:t>туризации (изменения) графика платежей в связи с уменьшением размера очередного платежа по основному долгу.</w:t>
      </w:r>
    </w:p>
    <w:p w:rsidR="00761CA3" w:rsidRDefault="002B6F27">
      <w:pPr>
        <w:pStyle w:val="a9"/>
        <w:tabs>
          <w:tab w:val="left" w:pos="2340"/>
        </w:tabs>
        <w:ind w:firstLine="709"/>
        <w:jc w:val="both"/>
        <w:rPr>
          <w:i/>
          <w:iCs/>
          <w:sz w:val="20"/>
          <w:szCs w:val="20"/>
        </w:rPr>
      </w:pPr>
      <w:r>
        <w:rPr>
          <w:bCs/>
          <w:i/>
          <w:iCs/>
          <w:color w:val="000000"/>
          <w:sz w:val="20"/>
          <w:szCs w:val="20"/>
        </w:rPr>
        <w:t>Количество поступивших обращений субъектами МСП об изменении условий договора займа (реструктуризации)</w:t>
      </w:r>
      <w:r>
        <w:rPr>
          <w:b/>
          <w:i/>
          <w:iCs/>
          <w:color w:val="000000"/>
          <w:sz w:val="20"/>
          <w:szCs w:val="20"/>
        </w:rPr>
        <w:t xml:space="preserve"> </w:t>
      </w:r>
      <w:r>
        <w:rPr>
          <w:bCs/>
          <w:i/>
          <w:iCs/>
          <w:color w:val="000000"/>
          <w:sz w:val="20"/>
          <w:szCs w:val="20"/>
        </w:rPr>
        <w:t>с начала 2021 года составило 21 обращение.</w:t>
      </w:r>
      <w:r>
        <w:rPr>
          <w:rFonts w:eastAsia="Calibri"/>
          <w:bCs/>
          <w:i/>
          <w:iCs/>
          <w:color w:val="000000"/>
          <w:sz w:val="20"/>
          <w:szCs w:val="20"/>
          <w:lang w:eastAsia="en-US"/>
        </w:rPr>
        <w:t xml:space="preserve"> Об</w:t>
      </w:r>
      <w:r>
        <w:rPr>
          <w:rFonts w:eastAsia="Calibri"/>
          <w:bCs/>
          <w:i/>
          <w:iCs/>
          <w:color w:val="000000"/>
          <w:sz w:val="20"/>
          <w:szCs w:val="20"/>
          <w:lang w:eastAsia="en-US"/>
        </w:rPr>
        <w:t xml:space="preserve">ъем </w:t>
      </w:r>
      <w:r>
        <w:rPr>
          <w:rFonts w:eastAsia="Calibri"/>
          <w:i/>
          <w:iCs/>
          <w:color w:val="000000"/>
          <w:sz w:val="20"/>
          <w:szCs w:val="20"/>
          <w:lang w:eastAsia="en-US"/>
        </w:rPr>
        <w:t>отсроченной задолженности по реструктурированным займам составил 24,89 млн. рублей.</w:t>
      </w:r>
    </w:p>
    <w:p w:rsidR="00761CA3" w:rsidRDefault="00761CA3">
      <w:pPr>
        <w:pStyle w:val="a9"/>
        <w:tabs>
          <w:tab w:val="left" w:pos="2340"/>
        </w:tabs>
        <w:ind w:firstLine="709"/>
        <w:jc w:val="both"/>
        <w:rPr>
          <w:rFonts w:eastAsia="Calibri"/>
          <w:color w:val="000000"/>
          <w:lang w:eastAsia="en-US"/>
        </w:rPr>
      </w:pPr>
    </w:p>
    <w:p w:rsidR="00761CA3" w:rsidRDefault="002B6F27">
      <w:pPr>
        <w:ind w:firstLine="709"/>
        <w:jc w:val="both"/>
        <w:rPr>
          <w:sz w:val="26"/>
          <w:szCs w:val="26"/>
        </w:rPr>
      </w:pPr>
      <w:r>
        <w:rPr>
          <w:rFonts w:eastAsia="Calibri"/>
          <w:color w:val="000000"/>
          <w:sz w:val="26"/>
          <w:szCs w:val="26"/>
          <w:lang w:eastAsia="en-US"/>
        </w:rPr>
        <w:t xml:space="preserve">В целях продолжения поддержки </w:t>
      </w:r>
      <w:r>
        <w:rPr>
          <w:rFonts w:eastAsia="Calibri"/>
          <w:color w:val="000000"/>
          <w:sz w:val="26"/>
          <w:szCs w:val="26"/>
          <w:lang w:eastAsia="en-US"/>
        </w:rPr>
        <w:t xml:space="preserve">субъектов </w:t>
      </w:r>
      <w:r>
        <w:rPr>
          <w:rFonts w:eastAsia="Calibri"/>
          <w:color w:val="000000"/>
          <w:sz w:val="26"/>
          <w:szCs w:val="26"/>
          <w:lang w:eastAsia="en-US"/>
        </w:rPr>
        <w:t xml:space="preserve">МСП осуществляющих свою деятельность в пострадавших отраслях экономики сохранен продукт «Поддержка»               (6,75 % годовых). </w:t>
      </w:r>
    </w:p>
    <w:p w:rsidR="00761CA3" w:rsidRDefault="002B6F27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По программе </w:t>
      </w:r>
      <w:r>
        <w:rPr>
          <w:b/>
          <w:bCs/>
          <w:sz w:val="26"/>
          <w:szCs w:val="26"/>
        </w:rPr>
        <w:t>«Поддержка»</w:t>
      </w:r>
      <w:r>
        <w:rPr>
          <w:sz w:val="26"/>
          <w:szCs w:val="26"/>
        </w:rPr>
        <w:t xml:space="preserve"> в 2021 году финансовая поддержка оказана 38 субъектам МСП. Сумма оказанной поддержки 80,32 млн. ру</w:t>
      </w:r>
      <w:r>
        <w:rPr>
          <w:sz w:val="26"/>
          <w:szCs w:val="26"/>
        </w:rPr>
        <w:t>блей.</w:t>
      </w:r>
    </w:p>
    <w:p w:rsidR="00761CA3" w:rsidRDefault="002B6F27">
      <w:pPr>
        <w:ind w:firstLine="709"/>
        <w:jc w:val="both"/>
        <w:rPr>
          <w:sz w:val="26"/>
          <w:szCs w:val="26"/>
        </w:rPr>
      </w:pPr>
      <w:r>
        <w:rPr>
          <w:rFonts w:eastAsia="Calibri"/>
          <w:color w:val="000000"/>
          <w:sz w:val="26"/>
          <w:szCs w:val="26"/>
          <w:lang w:eastAsia="en-US"/>
        </w:rPr>
        <w:t xml:space="preserve">В октябре 2021 года </w:t>
      </w:r>
      <w:r>
        <w:rPr>
          <w:rFonts w:eastAsia="Calibri"/>
          <w:bCs/>
          <w:color w:val="000000"/>
          <w:sz w:val="26"/>
          <w:szCs w:val="26"/>
          <w:lang w:eastAsia="en-US"/>
        </w:rPr>
        <w:t>МКК</w:t>
      </w:r>
      <w:r>
        <w:rPr>
          <w:rFonts w:eastAsia="Calibri"/>
          <w:bCs/>
          <w:color w:val="000000"/>
          <w:sz w:val="26"/>
          <w:szCs w:val="26"/>
          <w:lang w:eastAsia="en-US"/>
        </w:rPr>
        <w:t xml:space="preserve"> Фонд поддержки предпринимательства Республики Мордовия разработан новый продукт </w:t>
      </w:r>
      <w:r>
        <w:rPr>
          <w:rFonts w:eastAsia="Calibri"/>
          <w:b/>
          <w:bCs/>
          <w:color w:val="000000"/>
          <w:sz w:val="26"/>
          <w:szCs w:val="26"/>
          <w:lang w:eastAsia="en-US"/>
        </w:rPr>
        <w:t>«Антикризисный»</w:t>
      </w:r>
      <w:r>
        <w:rPr>
          <w:rFonts w:eastAsia="Calibri"/>
          <w:bCs/>
          <w:color w:val="000000"/>
          <w:sz w:val="26"/>
          <w:szCs w:val="26"/>
          <w:lang w:eastAsia="en-US"/>
        </w:rPr>
        <w:t xml:space="preserve"> по льготной ставке 1% годовых в сумме до 2 млн рублей на срок до 2 лет.</w:t>
      </w:r>
    </w:p>
    <w:p w:rsidR="00761CA3" w:rsidRDefault="002B6F27">
      <w:pPr>
        <w:ind w:firstLine="709"/>
        <w:jc w:val="both"/>
        <w:rPr>
          <w:sz w:val="26"/>
          <w:szCs w:val="26"/>
        </w:rPr>
      </w:pPr>
      <w:r>
        <w:rPr>
          <w:rFonts w:eastAsia="Calibri"/>
          <w:color w:val="000000"/>
          <w:sz w:val="26"/>
          <w:szCs w:val="26"/>
          <w:lang w:eastAsia="en-US"/>
        </w:rPr>
        <w:t xml:space="preserve">Финансовую поддержку могут получить субъекты </w:t>
      </w:r>
      <w:r>
        <w:rPr>
          <w:rFonts w:eastAsia="Calibri"/>
          <w:color w:val="000000"/>
          <w:sz w:val="26"/>
          <w:szCs w:val="26"/>
          <w:lang w:eastAsia="en-US"/>
        </w:rPr>
        <w:t>МСП</w:t>
      </w:r>
      <w:r>
        <w:rPr>
          <w:rFonts w:eastAsia="Calibri"/>
          <w:color w:val="000000"/>
          <w:sz w:val="26"/>
          <w:szCs w:val="26"/>
          <w:lang w:eastAsia="en-US"/>
        </w:rPr>
        <w:t xml:space="preserve">, </w:t>
      </w:r>
      <w:r>
        <w:rPr>
          <w:rFonts w:eastAsia="Calibri"/>
          <w:color w:val="000000"/>
          <w:sz w:val="26"/>
          <w:szCs w:val="26"/>
          <w:lang w:eastAsia="en-US"/>
        </w:rPr>
        <w:t>деятельность которых соответствует требованиям Федерального закона №209-ФЗ, зарегистрированные и осуществляющие свою деятельность на территории Республики Мордовия по следующи</w:t>
      </w:r>
      <w:r>
        <w:rPr>
          <w:rFonts w:eastAsia="Calibri"/>
          <w:color w:val="000000"/>
          <w:sz w:val="26"/>
          <w:szCs w:val="26"/>
          <w:lang w:eastAsia="en-US"/>
        </w:rPr>
        <w:t>м</w:t>
      </w:r>
      <w:r>
        <w:rPr>
          <w:rFonts w:eastAsia="Calibri"/>
          <w:color w:val="000000"/>
          <w:sz w:val="26"/>
          <w:szCs w:val="26"/>
          <w:lang w:eastAsia="en-US"/>
        </w:rPr>
        <w:t xml:space="preserve"> вид</w:t>
      </w:r>
      <w:r>
        <w:rPr>
          <w:rFonts w:eastAsia="Calibri"/>
          <w:color w:val="000000"/>
          <w:sz w:val="26"/>
          <w:szCs w:val="26"/>
          <w:lang w:eastAsia="en-US"/>
        </w:rPr>
        <w:t>ам</w:t>
      </w:r>
      <w:r>
        <w:rPr>
          <w:rFonts w:eastAsia="Calibri"/>
          <w:color w:val="000000"/>
          <w:sz w:val="26"/>
          <w:szCs w:val="26"/>
          <w:lang w:eastAsia="en-US"/>
        </w:rPr>
        <w:t>:</w:t>
      </w:r>
    </w:p>
    <w:p w:rsidR="00761CA3" w:rsidRDefault="002B6F27">
      <w:pPr>
        <w:ind w:firstLine="709"/>
        <w:jc w:val="both"/>
        <w:rPr>
          <w:sz w:val="26"/>
          <w:szCs w:val="26"/>
        </w:rPr>
      </w:pPr>
      <w:r>
        <w:rPr>
          <w:color w:val="000000"/>
          <w:sz w:val="26"/>
          <w:szCs w:val="26"/>
        </w:rPr>
        <w:t xml:space="preserve">рестораны, кафе, столовые, буфеты, бары, закусочные и иные </w:t>
      </w:r>
      <w:r>
        <w:rPr>
          <w:color w:val="000000"/>
          <w:sz w:val="26"/>
          <w:szCs w:val="26"/>
        </w:rPr>
        <w:t>организации общественного питания;</w:t>
      </w:r>
    </w:p>
    <w:p w:rsidR="00761CA3" w:rsidRDefault="002B6F27">
      <w:pPr>
        <w:ind w:firstLine="709"/>
        <w:jc w:val="both"/>
        <w:rPr>
          <w:sz w:val="26"/>
          <w:szCs w:val="26"/>
        </w:rPr>
      </w:pPr>
      <w:r>
        <w:rPr>
          <w:color w:val="000000"/>
          <w:sz w:val="26"/>
          <w:szCs w:val="26"/>
        </w:rPr>
        <w:t>салоны красоты, парикмахерские, косметические салоны, СПА-салоны, массажные салоны, солярии;</w:t>
      </w:r>
    </w:p>
    <w:p w:rsidR="00761CA3" w:rsidRDefault="002B6F27">
      <w:pPr>
        <w:ind w:firstLine="709"/>
        <w:jc w:val="both"/>
        <w:rPr>
          <w:sz w:val="26"/>
          <w:szCs w:val="26"/>
        </w:rPr>
      </w:pPr>
      <w:r>
        <w:rPr>
          <w:color w:val="000000"/>
          <w:sz w:val="26"/>
          <w:szCs w:val="26"/>
        </w:rPr>
        <w:t>бани, сауны, плавательные бассейны, спортивные и тренажерные залы, фитнес-центры;</w:t>
      </w:r>
    </w:p>
    <w:p w:rsidR="00761CA3" w:rsidRDefault="002B6F27">
      <w:pPr>
        <w:ind w:firstLine="709"/>
        <w:jc w:val="both"/>
        <w:rPr>
          <w:sz w:val="26"/>
          <w:szCs w:val="26"/>
        </w:rPr>
      </w:pPr>
      <w:r>
        <w:rPr>
          <w:color w:val="000000"/>
          <w:sz w:val="26"/>
          <w:szCs w:val="26"/>
        </w:rPr>
        <w:t>картинговые центры, конные центры (клубы);</w:t>
      </w:r>
    </w:p>
    <w:p w:rsidR="00761CA3" w:rsidRDefault="002B6F27">
      <w:pPr>
        <w:ind w:firstLine="709"/>
        <w:jc w:val="both"/>
        <w:rPr>
          <w:sz w:val="26"/>
          <w:szCs w:val="26"/>
        </w:rPr>
      </w:pPr>
      <w:r>
        <w:rPr>
          <w:color w:val="000000"/>
          <w:sz w:val="26"/>
          <w:szCs w:val="26"/>
        </w:rPr>
        <w:t>СМС</w:t>
      </w:r>
      <w:r>
        <w:rPr>
          <w:color w:val="000000"/>
          <w:sz w:val="26"/>
          <w:szCs w:val="26"/>
        </w:rPr>
        <w:t>П, организующие концертные и выставочные мероприятия;</w:t>
      </w:r>
    </w:p>
    <w:p w:rsidR="00761CA3" w:rsidRDefault="002B6F27">
      <w:pPr>
        <w:ind w:firstLine="709"/>
        <w:jc w:val="both"/>
        <w:rPr>
          <w:sz w:val="26"/>
          <w:szCs w:val="26"/>
        </w:rPr>
      </w:pPr>
      <w:r>
        <w:rPr>
          <w:color w:val="000000"/>
          <w:sz w:val="26"/>
          <w:szCs w:val="26"/>
        </w:rPr>
        <w:t>детские игровые комнаты и детские развлекательные центры, размещенные в торговых и культурно-досуговых центрах, павильонах и прочих объектах нежилого назначения.</w:t>
      </w:r>
    </w:p>
    <w:p w:rsidR="00761CA3" w:rsidRDefault="002B6F27">
      <w:pPr>
        <w:ind w:firstLine="709"/>
        <w:jc w:val="both"/>
        <w:rPr>
          <w:sz w:val="26"/>
          <w:szCs w:val="26"/>
        </w:rPr>
      </w:pPr>
      <w:r>
        <w:rPr>
          <w:color w:val="000000"/>
          <w:sz w:val="26"/>
          <w:szCs w:val="26"/>
        </w:rPr>
        <w:t>Денежные средства можно расходовать на п</w:t>
      </w:r>
      <w:r>
        <w:rPr>
          <w:color w:val="000000"/>
          <w:sz w:val="26"/>
          <w:szCs w:val="26"/>
        </w:rPr>
        <w:t>ополнение оборотных средств, в том числе: оплата налоговых платежей и сборов, оплата заработной платы, оплата арендных платежей и коммунальных услуг.</w:t>
      </w:r>
      <w:r>
        <w:rPr>
          <w:color w:val="000000"/>
          <w:sz w:val="26"/>
          <w:szCs w:val="26"/>
        </w:rPr>
        <w:t xml:space="preserve"> </w:t>
      </w:r>
    </w:p>
    <w:p w:rsidR="00761CA3" w:rsidRDefault="002B6F27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Процентная ставка по кредитным продуктам </w:t>
      </w:r>
      <w:r>
        <w:rPr>
          <w:b/>
          <w:bCs/>
          <w:sz w:val="26"/>
          <w:szCs w:val="26"/>
        </w:rPr>
        <w:t>«Лёгкий старт» для начинающих предпринимателей и «Я сам» для сам</w:t>
      </w:r>
      <w:r>
        <w:rPr>
          <w:b/>
          <w:bCs/>
          <w:sz w:val="26"/>
          <w:szCs w:val="26"/>
        </w:rPr>
        <w:t>озанятых граждан</w:t>
      </w:r>
      <w:r>
        <w:rPr>
          <w:sz w:val="26"/>
          <w:szCs w:val="26"/>
        </w:rPr>
        <w:t xml:space="preserve"> снижена до 3, 75 % годовых на период пользования. При сумме займов до 100 000 рублей залог и поручительство не требуются. При сумме займов до 200 000 рублей не требуется залог и поручительство заемщикам, проходившим обучение в центре «Мой </w:t>
      </w:r>
      <w:r>
        <w:rPr>
          <w:sz w:val="26"/>
          <w:szCs w:val="26"/>
        </w:rPr>
        <w:t>бизнес» или в образовательных организациях.</w:t>
      </w:r>
    </w:p>
    <w:p w:rsidR="00761CA3" w:rsidRDefault="00761CA3">
      <w:pPr>
        <w:ind w:firstLine="709"/>
        <w:jc w:val="both"/>
        <w:rPr>
          <w:b/>
          <w:bCs/>
          <w:sz w:val="26"/>
          <w:szCs w:val="26"/>
        </w:rPr>
      </w:pPr>
    </w:p>
    <w:p w:rsidR="00761CA3" w:rsidRDefault="002B6F27">
      <w:pPr>
        <w:ind w:firstLine="709"/>
        <w:jc w:val="both"/>
        <w:rPr>
          <w:sz w:val="26"/>
          <w:szCs w:val="26"/>
        </w:rPr>
      </w:pPr>
      <w:r>
        <w:rPr>
          <w:rFonts w:eastAsiaTheme="minorHAnsi"/>
          <w:sz w:val="26"/>
          <w:szCs w:val="26"/>
          <w:lang w:eastAsia="en-US"/>
        </w:rPr>
        <w:t>Региональной гарантийной организацией снижены ставки по комиссии за выдачу поручительств по кредитам: ставка по новым поручительствам снижена с 1,25% до 0,75% годовых. Ставка по пролонгируемым поручительствам сн</w:t>
      </w:r>
      <w:r>
        <w:rPr>
          <w:rFonts w:eastAsiaTheme="minorHAnsi"/>
          <w:sz w:val="26"/>
          <w:szCs w:val="26"/>
          <w:lang w:eastAsia="en-US"/>
        </w:rPr>
        <w:t>ижена с 1,25% до 0,5% годовых. Специальные условия продлены до 31 декабря 2021 года (для субъектов МСП пострадавших отраслей), поручительства, сроком до 3-х лет – ставка 0,5% годовых.</w:t>
      </w:r>
    </w:p>
    <w:p w:rsidR="00761CA3" w:rsidRDefault="002B6F27">
      <w:pPr>
        <w:ind w:firstLine="567"/>
        <w:jc w:val="both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>По состоянию на 01 ноября 2021 г. в адрес Гарантийного фонда выдано 29 п</w:t>
      </w:r>
      <w:r>
        <w:rPr>
          <w:i/>
          <w:iCs/>
          <w:sz w:val="22"/>
          <w:szCs w:val="22"/>
        </w:rPr>
        <w:t xml:space="preserve">оручительств на сумму 140,8 млн. рублей, сумма привлеченных кредитов </w:t>
      </w:r>
      <w:r>
        <w:rPr>
          <w:i/>
          <w:iCs/>
          <w:color w:val="000000"/>
          <w:sz w:val="22"/>
          <w:szCs w:val="22"/>
        </w:rPr>
        <w:t>329</w:t>
      </w:r>
      <w:r>
        <w:rPr>
          <w:i/>
          <w:iCs/>
          <w:sz w:val="22"/>
          <w:szCs w:val="22"/>
        </w:rPr>
        <w:t xml:space="preserve">,8 млн. рублей. </w:t>
      </w:r>
      <w:r>
        <w:rPr>
          <w:rFonts w:eastAsiaTheme="minorHAnsi"/>
          <w:i/>
          <w:iCs/>
          <w:sz w:val="22"/>
          <w:szCs w:val="22"/>
          <w:lang w:eastAsia="en-US"/>
        </w:rPr>
        <w:t>На пролонгацию по действующим поручительствам поступило 4 заявки на общую сумму 32,7 млн. рублей (по кредитам на сумму 50,9 млн. рублей).</w:t>
      </w:r>
      <w:r>
        <w:rPr>
          <w:i/>
          <w:iCs/>
          <w:sz w:val="22"/>
          <w:szCs w:val="22"/>
        </w:rPr>
        <w:t xml:space="preserve"> </w:t>
      </w:r>
    </w:p>
    <w:sectPr w:rsidR="00761CA3">
      <w:pgSz w:w="11906" w:h="16838"/>
      <w:pgMar w:top="1134" w:right="686" w:bottom="1134" w:left="1245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altName w:val="Arial Unicode MS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30"/>
  <w:revisionView w:inkAnnotations="0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1CA3"/>
    <w:rsid w:val="002B6F27"/>
    <w:rsid w:val="00761C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docId w15:val="{22556CB8-6366-2145-9363-F4A5645F1B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A3565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Маркеры"/>
    <w:qFormat/>
    <w:rPr>
      <w:rFonts w:ascii="OpenSymbol" w:eastAsia="OpenSymbol" w:hAnsi="OpenSymbol" w:cs="OpenSymbol"/>
    </w:rPr>
  </w:style>
  <w:style w:type="paragraph" w:styleId="a4">
    <w:name w:val="Title"/>
    <w:basedOn w:val="a"/>
    <w:next w:val="a5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5">
    <w:name w:val="Body Text"/>
    <w:basedOn w:val="a"/>
    <w:pPr>
      <w:spacing w:after="140" w:line="276" w:lineRule="auto"/>
    </w:pPr>
  </w:style>
  <w:style w:type="paragraph" w:styleId="a6">
    <w:name w:val="List"/>
    <w:basedOn w:val="a5"/>
    <w:rPr>
      <w:rFonts w:cs="Arial"/>
    </w:rPr>
  </w:style>
  <w:style w:type="paragraph" w:styleId="a7">
    <w:name w:val="caption"/>
    <w:basedOn w:val="a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styleId="a8">
    <w:name w:val="index heading"/>
    <w:basedOn w:val="a"/>
    <w:qFormat/>
    <w:pPr>
      <w:suppressLineNumbers/>
    </w:pPr>
    <w:rPr>
      <w:rFonts w:cs="Arial"/>
    </w:rPr>
  </w:style>
  <w:style w:type="paragraph" w:styleId="a9">
    <w:name w:val="Normal (Web)"/>
    <w:basedOn w:val="a"/>
    <w:qFormat/>
    <w:rPr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999</Words>
  <Characters>5700</Characters>
  <Application>Microsoft Office Word</Application>
  <DocSecurity>0</DocSecurity>
  <Lines>47</Lines>
  <Paragraphs>13</Paragraphs>
  <ScaleCrop>false</ScaleCrop>
  <Company/>
  <LinksUpToDate>false</LinksUpToDate>
  <CharactersWithSpaces>6686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Смолкина И.А.</dc:creator>
  <dc:description/>
  <cp:lastModifiedBy>Гость</cp:lastModifiedBy>
  <cp:revision>2</cp:revision>
  <cp:lastPrinted>2021-01-25T08:13:00Z</cp:lastPrinted>
  <dcterms:created xsi:type="dcterms:W3CDTF">2021-11-08T05:14:00Z</dcterms:created>
  <dcterms:modified xsi:type="dcterms:W3CDTF">2021-11-08T05:14:00Z</dcterms:modified>
  <dc:language>ru-RU</dc:language>
</cp:coreProperties>
</file>