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7BF" w:rsidRPr="00013E6E" w:rsidRDefault="00C657BF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657BF" w:rsidRPr="00C93A9E" w:rsidRDefault="00C657BF" w:rsidP="00C93A9E">
      <w:pPr>
        <w:jc w:val="center"/>
        <w:rPr>
          <w:rFonts w:ascii="Times New Roman" w:hAnsi="Times New Roman" w:cs="Times New Roman"/>
          <w:sz w:val="26"/>
          <w:szCs w:val="26"/>
        </w:rPr>
      </w:pPr>
      <w:r w:rsidRPr="00C93A9E">
        <w:rPr>
          <w:rFonts w:ascii="Times New Roman" w:hAnsi="Times New Roman" w:cs="Times New Roman"/>
          <w:b/>
          <w:bCs/>
          <w:sz w:val="26"/>
          <w:szCs w:val="26"/>
        </w:rPr>
        <w:t>АДМИНИСТРАЦИЯ ПРОТАСОВСКОГО СЕЛЬСКОГО ПОСЕЛЕНИЯ БОЛЬШЕИГНАТОВСКОГО МУНИЦИПАЛЬНОГО РАЙОНА</w:t>
      </w:r>
    </w:p>
    <w:p w:rsidR="00C657BF" w:rsidRPr="00C93A9E" w:rsidRDefault="00C657BF" w:rsidP="00C93A9E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93A9E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C657BF" w:rsidRPr="00C93A9E" w:rsidRDefault="00C657BF" w:rsidP="00C93A9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32"/>
          <w:szCs w:val="32"/>
        </w:rPr>
      </w:pPr>
      <w:r w:rsidRPr="00C93A9E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C657BF" w:rsidRPr="00013E6E" w:rsidRDefault="00C657BF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 12 ноября </w:t>
      </w:r>
      <w:r w:rsidRPr="00013E6E">
        <w:rPr>
          <w:rFonts w:ascii="Times New Roman" w:hAnsi="Times New Roman" w:cs="Times New Roman"/>
          <w:color w:val="000000"/>
          <w:sz w:val="28"/>
          <w:szCs w:val="28"/>
        </w:rPr>
        <w:t>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№56</w:t>
      </w:r>
    </w:p>
    <w:p w:rsidR="00C657BF" w:rsidRPr="00CD75DB" w:rsidRDefault="00C657BF" w:rsidP="00C93A9E">
      <w:pPr>
        <w:pStyle w:val="NormalWeb"/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CD75DB">
        <w:rPr>
          <w:rFonts w:ascii="Times New Roman" w:hAnsi="Times New Roman" w:cs="Times New Roman"/>
          <w:sz w:val="27"/>
          <w:szCs w:val="27"/>
        </w:rPr>
        <w:t>с. Протасово</w:t>
      </w:r>
    </w:p>
    <w:p w:rsidR="00C657BF" w:rsidRDefault="00C657BF" w:rsidP="00C93A9E">
      <w:pPr>
        <w:pStyle w:val="NormalWeb"/>
        <w:spacing w:after="0"/>
        <w:jc w:val="center"/>
        <w:rPr>
          <w:sz w:val="27"/>
          <w:szCs w:val="27"/>
        </w:rPr>
      </w:pPr>
    </w:p>
    <w:p w:rsidR="00C657BF" w:rsidRPr="00C93A9E" w:rsidRDefault="00C657BF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</w:pPr>
      <w:r w:rsidRPr="00C93A9E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>Об утверждении основных направлений бюджетной</w:t>
      </w:r>
    </w:p>
    <w:p w:rsidR="00C657BF" w:rsidRPr="00C93A9E" w:rsidRDefault="00C657BF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</w:pPr>
      <w:r w:rsidRPr="00C93A9E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и налоговой политики Протасовского сельского поселения Большеигнатовского </w:t>
      </w:r>
    </w:p>
    <w:p w:rsidR="00C657BF" w:rsidRPr="00C93A9E" w:rsidRDefault="00C657BF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</w:pPr>
      <w:r w:rsidRPr="00C93A9E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муниципального района на 2022 год и на </w:t>
      </w:r>
    </w:p>
    <w:p w:rsidR="00C657BF" w:rsidRPr="00C93A9E" w:rsidRDefault="00C657BF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</w:pPr>
      <w:r w:rsidRPr="00C93A9E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>плановый период 2023 и 2024 годов</w:t>
      </w:r>
    </w:p>
    <w:p w:rsidR="00C657BF" w:rsidRDefault="00C657B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Pr="005F732F">
        <w:rPr>
          <w:spacing w:val="1"/>
          <w:sz w:val="28"/>
          <w:szCs w:val="28"/>
        </w:rPr>
        <w:t xml:space="preserve">В </w:t>
      </w:r>
      <w:r>
        <w:rPr>
          <w:spacing w:val="1"/>
          <w:sz w:val="28"/>
          <w:szCs w:val="28"/>
        </w:rPr>
        <w:t xml:space="preserve">целях обеспечения бюджетного процесса и в </w:t>
      </w:r>
      <w:r w:rsidRPr="005F732F">
        <w:rPr>
          <w:spacing w:val="1"/>
          <w:sz w:val="28"/>
          <w:szCs w:val="28"/>
        </w:rPr>
        <w:t>соответствии со статьей 172 </w:t>
      </w:r>
      <w:hyperlink r:id="rId5" w:history="1">
        <w:r w:rsidRPr="005F732F">
          <w:rPr>
            <w:rStyle w:val="Hyperlink"/>
            <w:color w:val="auto"/>
            <w:spacing w:val="1"/>
            <w:sz w:val="28"/>
            <w:szCs w:val="28"/>
            <w:u w:val="none"/>
          </w:rPr>
          <w:t>Бюджетного кодекса Российской Федерации</w:t>
        </w:r>
      </w:hyperlink>
      <w:r>
        <w:t>,</w:t>
      </w:r>
      <w:r w:rsidRPr="005F732F">
        <w:rPr>
          <w:spacing w:val="1"/>
          <w:sz w:val="28"/>
          <w:szCs w:val="28"/>
        </w:rPr>
        <w:t>  </w:t>
      </w:r>
      <w:r>
        <w:rPr>
          <w:spacing w:val="1"/>
          <w:sz w:val="28"/>
          <w:szCs w:val="28"/>
        </w:rPr>
        <w:t xml:space="preserve">Администрация </w:t>
      </w:r>
      <w:r w:rsidRPr="00C93A9E">
        <w:rPr>
          <w:spacing w:val="1"/>
          <w:sz w:val="28"/>
          <w:szCs w:val="28"/>
        </w:rPr>
        <w:t>Протасовского сельского поселения</w:t>
      </w:r>
      <w:r>
        <w:rPr>
          <w:spacing w:val="1"/>
          <w:sz w:val="28"/>
          <w:szCs w:val="28"/>
        </w:rPr>
        <w:t xml:space="preserve"> Большеигнатовского муниципального района Республики Мордовия                   </w:t>
      </w:r>
    </w:p>
    <w:p w:rsidR="00C657BF" w:rsidRPr="005F732F" w:rsidRDefault="00C657B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bCs/>
          <w:spacing w:val="1"/>
          <w:sz w:val="28"/>
          <w:szCs w:val="28"/>
        </w:rPr>
      </w:pPr>
      <w:r>
        <w:rPr>
          <w:b/>
          <w:bCs/>
          <w:spacing w:val="1"/>
          <w:sz w:val="28"/>
          <w:szCs w:val="28"/>
        </w:rPr>
        <w:t>ПОСТАНОВЛЯЕТ</w:t>
      </w:r>
      <w:r w:rsidRPr="005F732F">
        <w:rPr>
          <w:b/>
          <w:bCs/>
          <w:spacing w:val="1"/>
          <w:sz w:val="28"/>
          <w:szCs w:val="28"/>
        </w:rPr>
        <w:t>:</w:t>
      </w:r>
    </w:p>
    <w:p w:rsidR="00C657BF" w:rsidRDefault="00C657B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>сновные на</w:t>
      </w:r>
      <w:r>
        <w:rPr>
          <w:spacing w:val="1"/>
          <w:sz w:val="28"/>
          <w:szCs w:val="28"/>
        </w:rPr>
        <w:t xml:space="preserve">правления бюджетной и налоговой </w:t>
      </w:r>
      <w:r w:rsidRPr="005F732F">
        <w:rPr>
          <w:spacing w:val="1"/>
          <w:sz w:val="28"/>
          <w:szCs w:val="28"/>
        </w:rPr>
        <w:t>политики</w:t>
      </w:r>
      <w:r w:rsidRPr="00C93A9E">
        <w:rPr>
          <w:spacing w:val="1"/>
          <w:sz w:val="28"/>
          <w:szCs w:val="28"/>
        </w:rPr>
        <w:t xml:space="preserve"> Протасовского сельского поселения</w:t>
      </w:r>
      <w:r>
        <w:rPr>
          <w:spacing w:val="1"/>
          <w:sz w:val="28"/>
          <w:szCs w:val="28"/>
        </w:rPr>
        <w:t xml:space="preserve">                                            Большеигнатовского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C657BF" w:rsidRDefault="00C657B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2.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 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C657BF" w:rsidRDefault="00C657B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657BF" w:rsidRDefault="00C657B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657BF" w:rsidRDefault="00C657B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И.о. главы </w:t>
      </w:r>
    </w:p>
    <w:p w:rsidR="00C657BF" w:rsidRDefault="00C657B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сельского поселения                                                        И.З.Ермушева</w:t>
      </w:r>
    </w:p>
    <w:p w:rsidR="00C657BF" w:rsidRDefault="00C657B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657BF" w:rsidRDefault="00C657B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657BF" w:rsidRDefault="00C657B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657BF" w:rsidRDefault="00C657B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657BF" w:rsidRDefault="00C657B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657BF" w:rsidRDefault="00C657B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657BF" w:rsidRDefault="00C657B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657BF" w:rsidRDefault="00C657BF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C657BF" w:rsidRDefault="00C657BF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C657BF" w:rsidRDefault="00C657BF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C657BF" w:rsidRDefault="00C657BF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C657BF" w:rsidRDefault="00C657BF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C657BF" w:rsidRDefault="00C657BF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C657BF" w:rsidRPr="00D109F4" w:rsidRDefault="00C657BF" w:rsidP="005F732F">
      <w:pPr>
        <w:spacing w:after="0" w:line="240" w:lineRule="auto"/>
        <w:ind w:left="5103"/>
        <w:rPr>
          <w:rFonts w:ascii="Times New Roman" w:hAnsi="Times New Roman" w:cs="Times New Roman"/>
        </w:rPr>
      </w:pPr>
    </w:p>
    <w:p w:rsidR="00C657BF" w:rsidRPr="00D109F4" w:rsidRDefault="00C657BF" w:rsidP="00D109F4">
      <w:pPr>
        <w:spacing w:after="0" w:line="240" w:lineRule="auto"/>
        <w:ind w:left="5103"/>
        <w:jc w:val="right"/>
        <w:rPr>
          <w:rFonts w:ascii="Times New Roman" w:hAnsi="Times New Roman" w:cs="Times New Roman"/>
        </w:rPr>
      </w:pPr>
      <w:r w:rsidRPr="00D109F4">
        <w:rPr>
          <w:rFonts w:ascii="Times New Roman" w:hAnsi="Times New Roman" w:cs="Times New Roman"/>
        </w:rPr>
        <w:t>Утверждены</w:t>
      </w:r>
    </w:p>
    <w:p w:rsidR="00C657BF" w:rsidRPr="00D109F4" w:rsidRDefault="00C657BF" w:rsidP="00E678F6">
      <w:pPr>
        <w:spacing w:after="0" w:line="240" w:lineRule="auto"/>
        <w:ind w:left="5103"/>
        <w:jc w:val="right"/>
        <w:rPr>
          <w:rFonts w:ascii="Times New Roman" w:hAnsi="Times New Roman" w:cs="Times New Roman"/>
        </w:rPr>
      </w:pPr>
      <w:r w:rsidRPr="00D109F4">
        <w:rPr>
          <w:rFonts w:ascii="Times New Roman" w:hAnsi="Times New Roman" w:cs="Times New Roman"/>
        </w:rPr>
        <w:t>постановлением</w:t>
      </w:r>
      <w:r w:rsidRPr="00D109F4">
        <w:t xml:space="preserve"> </w:t>
      </w:r>
      <w:r w:rsidRPr="00D109F4">
        <w:rPr>
          <w:rFonts w:ascii="Times New Roman" w:hAnsi="Times New Roman" w:cs="Times New Roman"/>
        </w:rPr>
        <w:t>Администрации</w:t>
      </w:r>
      <w:r w:rsidRPr="00D109F4">
        <w:rPr>
          <w:rFonts w:ascii="Times New Roman" w:hAnsi="Times New Roman" w:cs="Times New Roman"/>
        </w:rPr>
        <w:br/>
        <w:t>Протасовского сельского поселения Большеигнатовского  муниципального района Республики Мордовия</w:t>
      </w:r>
      <w:r w:rsidRPr="00D109F4">
        <w:rPr>
          <w:rFonts w:ascii="Times New Roman" w:hAnsi="Times New Roman" w:cs="Times New Roman"/>
        </w:rPr>
        <w:br/>
        <w:t>от 12.11.2021 г.№56  </w:t>
      </w:r>
    </w:p>
    <w:p w:rsidR="00C657BF" w:rsidRPr="00D109F4" w:rsidRDefault="00C657BF" w:rsidP="00E678F6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right"/>
        <w:textAlignment w:val="baseline"/>
        <w:rPr>
          <w:spacing w:val="1"/>
          <w:sz w:val="22"/>
          <w:szCs w:val="22"/>
        </w:rPr>
      </w:pPr>
    </w:p>
    <w:p w:rsidR="00C657BF" w:rsidRDefault="00C657BF" w:rsidP="00F90D45">
      <w:pPr>
        <w:jc w:val="center"/>
        <w:outlineLvl w:val="0"/>
        <w:rPr>
          <w:sz w:val="28"/>
          <w:szCs w:val="28"/>
        </w:rPr>
      </w:pPr>
      <w:r w:rsidRPr="00A96BF9">
        <w:rPr>
          <w:rFonts w:ascii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</w:p>
    <w:p w:rsidR="00C657BF" w:rsidRPr="0034369C" w:rsidRDefault="00C657BF" w:rsidP="00F90D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369C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</w:t>
      </w:r>
    </w:p>
    <w:p w:rsidR="00C657BF" w:rsidRPr="0034369C" w:rsidRDefault="00C657BF" w:rsidP="00F90D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369C">
        <w:rPr>
          <w:rFonts w:ascii="Times New Roman" w:hAnsi="Times New Roman" w:cs="Times New Roman"/>
          <w:b/>
          <w:bCs/>
          <w:sz w:val="28"/>
          <w:szCs w:val="28"/>
        </w:rPr>
        <w:t xml:space="preserve">бюджетной и налоговой политики </w:t>
      </w:r>
      <w:r w:rsidRPr="0034369C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Протасовского сельского поселения </w:t>
      </w:r>
      <w:r w:rsidRPr="0034369C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 Республики Мордовия на 2022 год и на плановый период</w:t>
      </w:r>
    </w:p>
    <w:p w:rsidR="00C657BF" w:rsidRPr="0034369C" w:rsidRDefault="00C657BF" w:rsidP="00F90D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369C">
        <w:rPr>
          <w:rFonts w:ascii="Times New Roman" w:hAnsi="Times New Roman" w:cs="Times New Roman"/>
          <w:b/>
          <w:bCs/>
          <w:sz w:val="28"/>
          <w:szCs w:val="28"/>
        </w:rPr>
        <w:t xml:space="preserve"> 2023 и 2024 годов</w:t>
      </w:r>
    </w:p>
    <w:p w:rsidR="00C657BF" w:rsidRPr="0034369C" w:rsidRDefault="00C657BF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b/>
          <w:bCs/>
          <w:color w:val="2D2D2D"/>
          <w:spacing w:val="1"/>
          <w:sz w:val="24"/>
          <w:szCs w:val="24"/>
          <w:lang w:eastAsia="ru-RU"/>
        </w:rPr>
      </w:pPr>
    </w:p>
    <w:p w:rsidR="00C657BF" w:rsidRPr="000630CA" w:rsidRDefault="00C657BF" w:rsidP="00E553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 Республики Мордовия на 2022 год и на плановый период 2023 и 2024 годов сформированы в рамках подготовки проекта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задач, определенных в Указах Президента Российской Федерации 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</w:p>
    <w:p w:rsidR="00C657BF" w:rsidRPr="000630CA" w:rsidRDefault="00C657BF" w:rsidP="00E5533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 Республики Мордовия на 2022 год и на плановый период 2023 и 2024 годов сформированы в условиях экономической ситуации, сложившейся в связи с распространением с 2020 года новой коронавирусной инфекции, с учетом обязательств, предусматриваемых соглашениями о мерах по социально-экономическому развитию и оздоровлению муниципальных финансов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Мордовия, ежегодно заключаемых между </w:t>
      </w:r>
      <w:r w:rsidRPr="00D109F4">
        <w:rPr>
          <w:rFonts w:ascii="Times New Roman" w:hAnsi="Times New Roman" w:cs="Times New Roman"/>
          <w:sz w:val="28"/>
          <w:szCs w:val="28"/>
        </w:rPr>
        <w:t>Министерством финансов Республики Мордовия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и Администрацией Большеигнатовского муниципального района, и ориентированы на создание условий для эффективного управления муниципальными финансами, обеспечивающих сохранение устойчивости бюджетной системы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Мордовия.</w:t>
      </w:r>
    </w:p>
    <w:p w:rsidR="00C657BF" w:rsidRPr="000630CA" w:rsidRDefault="00C657BF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C657BF" w:rsidRPr="005823EB" w:rsidRDefault="00C657BF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</w:pPr>
      <w:r w:rsidRPr="005823EB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>Основные направления бюджетной политики Протасовского сельского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CD75DB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>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5823EB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Большеигнатовского муниципального района на 2022 год и на плановый период </w:t>
      </w:r>
    </w:p>
    <w:p w:rsidR="00C657BF" w:rsidRPr="005823EB" w:rsidRDefault="00C657BF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</w:pPr>
      <w:r w:rsidRPr="005823EB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>2023 и 2024 годов</w:t>
      </w:r>
    </w:p>
    <w:p w:rsidR="00C657BF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Указами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от 21 июля 2020 г. № 474 «О национальных целях развития Российской Федерации на период до 2030 года», что обусловливает необходимость продолжения решения фундаментальной задачи в сфере бюджетной политики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– обеспечения долгосрочной сбалансированности и устойчивости бюджетной системы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как базового принципа ответственной и эффективной бюджетной политики.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Важным фактором при обеспечении сбалансированности и устойчивости бюджета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(далее –бюджет Большеигнатовского муниципального района) и одним из направлений бюджетной политики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,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Необходимо продолжить политику ограничения непервоочередных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условиях опережающего роста расходов бюджета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, наиболее значимым направлением бюджетной политики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остается повышение эффективности бюджетных расходов.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Расходы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Учитывая, что муниципальные программы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являясь основным инструментом бюджетного планирования, должны обеспечивать достижение стратегических целей развития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необходимо совершенствовать подход к их формированию и реализации.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Кроме того, при формировании и исполнении бюджета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бюджет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части повышения эффективности расходования бюджетных средств необходимо сосредоточиться на проведении работы с дебиторской задолженностью, направленной на последовательное и устойчивое снижение ее объемов, обеспечении более равномерного использования бюджетных средств в течение года, в том числе путем перечисления средств в местные бюджеты лишь в необходимом объеме в тот момент времени, когда это требуется для получателей бюджетных средств, и в соответствии с целями их предоставления.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предстоящий период также необходимо продолжить работу по повышению открытости, прозрачности и публичности процесса управления финансами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, гарантирующих обществу право на доступ к открытым государственным данным, в том числе в рамках размещения финансовой и иной информации о  бюджете и бюджетном процессе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на едином портале бюджетной системы Российской Федерации, а также на официальном сайте Администрации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Мордовия. Будет продолжено формирование электронной информационной брошюры «Бюджет для граждан» к бюджету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в доступной для широкого круга заинтересованных пользователей форме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Значимым направлением бюджетной политики будет также продолжение работы по осуществлению муниципального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нарушение, а также по организации осуществления внутреннего финансового аудита в органах муниципальной власти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               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Мордовия, направленного на соблюдение процедур составления и исполнения бюджета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района,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сфере межбюджетных отношений одним из основных направлений продолжает оставаться создание условий для сбалансированности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увеличения доходной базы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630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Планируется реализация следующих задач: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>
        <w:rPr>
          <w:rFonts w:ascii="Times New Roman" w:hAnsi="Times New Roman" w:cs="Times New Roman"/>
          <w:sz w:val="28"/>
          <w:szCs w:val="28"/>
        </w:rPr>
        <w:t xml:space="preserve">бюджету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нецелевой финансовой поддержки с сохранением действующих подходов к распределению дотации на выравнивание;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формирование дополнительных доходных источников в </w:t>
      </w:r>
      <w:r>
        <w:rPr>
          <w:rFonts w:ascii="Times New Roman" w:hAnsi="Times New Roman" w:cs="Times New Roman"/>
          <w:sz w:val="28"/>
          <w:szCs w:val="28"/>
        </w:rPr>
        <w:t xml:space="preserve">  бюджет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>;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сокращение дифференциации в уровне экономического развития и бюджетной обеспеченности с помощью применения стимулирующих механизмов;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повышение результативности расходования полученных из бюджета </w:t>
      </w:r>
      <w:r w:rsidRPr="007A2CA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целевых межбюджетных трансфертов и выполнения обязательств по достижению целей их предоставления;</w:t>
      </w:r>
      <w:bookmarkStart w:id="0" w:name="_GoBack"/>
      <w:bookmarkEnd w:id="0"/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укрепление финансов</w:t>
      </w:r>
      <w:r>
        <w:rPr>
          <w:rFonts w:ascii="Times New Roman" w:hAnsi="Times New Roman" w:cs="Times New Roman"/>
          <w:sz w:val="28"/>
          <w:szCs w:val="28"/>
        </w:rPr>
        <w:t xml:space="preserve">ой дисциплины, соблюдение органом </w:t>
      </w:r>
      <w:r w:rsidRPr="000630CA">
        <w:rPr>
          <w:rFonts w:ascii="Times New Roman" w:hAnsi="Times New Roman" w:cs="Times New Roman"/>
          <w:sz w:val="28"/>
          <w:szCs w:val="28"/>
        </w:rPr>
        <w:t xml:space="preserve">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финансами;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мониторинг 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>им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сельск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>им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поселени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ем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 обязательств по снижению уровня долговой нагрузки, принятых в рамках программы </w:t>
      </w:r>
      <w:r w:rsidRPr="007A2CA2">
        <w:rPr>
          <w:rFonts w:ascii="Times New Roman" w:hAnsi="Times New Roman" w:cs="Times New Roman"/>
          <w:sz w:val="28"/>
          <w:szCs w:val="28"/>
        </w:rPr>
        <w:t>реструктуризации;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распределение максимального количества межбюджетных трансфертов при формировании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на очередной финансовый год и плановый период;</w:t>
      </w:r>
    </w:p>
    <w:p w:rsidR="00C657BF" w:rsidRDefault="00C657BF" w:rsidP="00A73A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предсказуемости предоставления целевых межбюджетных трансфертов из бюджета Большеигна</w:t>
      </w:r>
      <w:r>
        <w:rPr>
          <w:rFonts w:ascii="Times New Roman" w:hAnsi="Times New Roman" w:cs="Times New Roman"/>
          <w:sz w:val="28"/>
          <w:szCs w:val="28"/>
        </w:rPr>
        <w:t xml:space="preserve">товского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ю.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Реализация обозначенных задач, в том числе по обеспечению восстановительного роста экономики, направлена на «нормализацию» бюджетной политики на муниципальном уровне с постепенным возвращением к сбалансированности сельских поселений.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Не менее важным направлением бюджетной политики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в предстоящий период будет продолжение проведения взвешенной и продуманной политики по недопущению необоснованного увеличения долговой нагрузки. В целях реализации данного направления необходимо продолжить поддержание долговой нагрузки на бюджет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муниципального долга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района, чему будет способствовать своевременное исполнение долговых обязательств района перед кредиторами.</w:t>
      </w:r>
    </w:p>
    <w:p w:rsidR="00C657BF" w:rsidRPr="00A73A0E" w:rsidRDefault="00C657BF" w:rsidP="000630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3A0E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</w:t>
      </w:r>
    </w:p>
    <w:p w:rsidR="00C657BF" w:rsidRPr="00A73A0E" w:rsidRDefault="00C657BF" w:rsidP="000630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3A0E">
        <w:rPr>
          <w:rFonts w:ascii="Times New Roman" w:hAnsi="Times New Roman" w:cs="Times New Roman"/>
          <w:b/>
          <w:bCs/>
          <w:sz w:val="28"/>
          <w:szCs w:val="28"/>
        </w:rPr>
        <w:t xml:space="preserve">налоговой политики </w:t>
      </w:r>
      <w:r w:rsidRPr="00A73A0E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Pr="00A73A0E">
        <w:rPr>
          <w:rFonts w:ascii="Times New Roman" w:hAnsi="Times New Roman" w:cs="Times New Roman"/>
          <w:b/>
          <w:bCs/>
          <w:sz w:val="28"/>
          <w:szCs w:val="28"/>
        </w:rPr>
        <w:t xml:space="preserve">Большеигнатовского мунициального района </w:t>
      </w:r>
    </w:p>
    <w:p w:rsidR="00C657BF" w:rsidRPr="00A73A0E" w:rsidRDefault="00C657BF" w:rsidP="000630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3A0E">
        <w:rPr>
          <w:rFonts w:ascii="Times New Roman" w:hAnsi="Times New Roman" w:cs="Times New Roman"/>
          <w:b/>
          <w:bCs/>
          <w:sz w:val="28"/>
          <w:szCs w:val="28"/>
        </w:rPr>
        <w:t>на 2022 год и на плановый период 2023 и 2024 годов</w:t>
      </w:r>
    </w:p>
    <w:p w:rsidR="00C657BF" w:rsidRPr="00A73A0E" w:rsidRDefault="00C657BF" w:rsidP="000630C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бюджета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за счет наращивания стабильных доходных источников.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Налоговая политика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в среднесрочной перспективе будет основываться на следующих приоритетных направлениях: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1. Оказание содействия предпринимательской активности.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настоящее время задачи налоговой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налогообложения, учитывающего особенности ведения бизнеса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Большеигнатовском муниципальном районе  и расширяющего возможности применения данного режима в сфере торговли и услуг.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2022 году продолжат свое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г. по 31 декабря 2024 г.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 с переменой ими места нахождения (места жительства).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2022 году продолжится популяризация введенного с 1 июля 2020 г.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2. Реализация механизмов налогового стимулирования в рамках инвестиционной политики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Для налоговой поддержки инвесторов установлена налоговая льгота по налогу на прибыль организаций (в виде снижения ставки до 13,5 процента) и налогу на имущество организаций (в виде освобождения от уплаты налога) для организаций, получивших в соответствии со статьей 25.16 Налогового кодекса Российской Федерации статус налогоплательщика – участника специального инвестиционного контракта.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Эффективность введенных мер будет оцениваться по тому, какие новые продукты, услуги, технологии созданы и как вследствие этого увеличился экономический и доходный потенциал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Ожидается, что реализация механизма специальных инвестиционных контрактов будет иметь положительный социальный эффект, обусловленный созданием новых рабочих мест, что обеспечит дополнительные поступления налога на доходы физических лиц в бюджет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Мордовия. 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3. Обеспечение бюджетной, экономической и социальной эффективности налоговых расходов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Оценка налоговых расходов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осуществляется кураторами налоговых расходов в рамках мониторинга реализации подведомственных государственных программ Республики Мордовия и в соответствии с ежегодно утверждаемым перечнем налоговых расходов. 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 результатам проведенной оценки эффективности налоговых расходов Республики Мордовия в 2021 году кураторам налоговых расходов Республики Мордовия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признанные неэффективными, в целях достижения бюджетной, экономической и социальной эффективности.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4. Совершенствование налогового законодательства Республики Мордовия с учетом изменений в налоговом законодательстве Российской Федерации.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беззаявительном порядке предоставления налоговых льгот по транспортному и земельному налогам на основании полученных налоговыми органами сведений).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до 31 декабря 2024 г. продлено ограничение в 50 процентов на учет убытков прошлых лет по налогу на прибыль организаций;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2022 г.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– не позднее последнего числа месяца, следующего за истекшим отчетным периодом;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2023 г. (за налоговый период 2022 года и последующие периоды) установлено, что налогоплательщики –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5.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бюджет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бюджет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среднесрочной перспективе будет проложена работа по: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9F4">
        <w:rPr>
          <w:rFonts w:ascii="Times New Roman" w:hAnsi="Times New Roman" w:cs="Times New Roman"/>
          <w:sz w:val="28"/>
          <w:szCs w:val="28"/>
        </w:rPr>
        <w:t>координации действий органов местного самоуправления сельского поселения с исполнительными органами муниципальной власти Большеигнатовского муниципального района и территориальными органами федеральных органов исполнительной власти, направленных на увеличение собираемости налогов и сборов, поступающих в бюджет;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контроля за постановкой на налоговый учет всех организаций – хозяйствующих субъектов, осуществляющих деятельность на территории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района;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Реализация основных направлений налоговой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D45827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Республики Мордовия на 2022 год и плановый период 2023 и 2024 годов должна повысить стабильность ведения экономической деятельности на территории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Протасовского сельского поселения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и будет способствовать росту налогового потенциала </w:t>
      </w:r>
      <w:r w:rsidRPr="005823EB">
        <w:rPr>
          <w:rFonts w:ascii="Times New Roman" w:hAnsi="Times New Roman" w:cs="Times New Roman"/>
          <w:spacing w:val="1"/>
          <w:sz w:val="28"/>
          <w:szCs w:val="28"/>
          <w:lang w:eastAsia="ru-RU"/>
        </w:rPr>
        <w:t>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657BF" w:rsidRPr="000630CA" w:rsidRDefault="00C657B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657BF" w:rsidRPr="000630CA" w:rsidRDefault="00C657BF" w:rsidP="000630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57BF" w:rsidRPr="000630CA" w:rsidRDefault="00C657BF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</w:pPr>
    </w:p>
    <w:p w:rsidR="00C657BF" w:rsidRPr="000630CA" w:rsidRDefault="00C657BF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</w:pPr>
    </w:p>
    <w:sectPr w:rsidR="00C657BF" w:rsidRPr="000630CA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6BF9"/>
    <w:rsid w:val="00013E6E"/>
    <w:rsid w:val="0005062A"/>
    <w:rsid w:val="00051756"/>
    <w:rsid w:val="000630CA"/>
    <w:rsid w:val="00094EF1"/>
    <w:rsid w:val="000C4952"/>
    <w:rsid w:val="000F3A35"/>
    <w:rsid w:val="00130ABF"/>
    <w:rsid w:val="00135BCF"/>
    <w:rsid w:val="001364F5"/>
    <w:rsid w:val="001471F6"/>
    <w:rsid w:val="00223A47"/>
    <w:rsid w:val="0024017E"/>
    <w:rsid w:val="00270AD6"/>
    <w:rsid w:val="00276BCB"/>
    <w:rsid w:val="00296196"/>
    <w:rsid w:val="002E4B52"/>
    <w:rsid w:val="00313BE2"/>
    <w:rsid w:val="00320B8C"/>
    <w:rsid w:val="0034369C"/>
    <w:rsid w:val="00352EFA"/>
    <w:rsid w:val="003A1B5B"/>
    <w:rsid w:val="003D2F2C"/>
    <w:rsid w:val="003D35C1"/>
    <w:rsid w:val="00427B18"/>
    <w:rsid w:val="00433EA3"/>
    <w:rsid w:val="004B68B8"/>
    <w:rsid w:val="004C68C4"/>
    <w:rsid w:val="004D33A0"/>
    <w:rsid w:val="004F0ACE"/>
    <w:rsid w:val="004F432E"/>
    <w:rsid w:val="005315D5"/>
    <w:rsid w:val="005475C3"/>
    <w:rsid w:val="00565348"/>
    <w:rsid w:val="005823EB"/>
    <w:rsid w:val="005E04E0"/>
    <w:rsid w:val="005F732F"/>
    <w:rsid w:val="006471D8"/>
    <w:rsid w:val="0065545B"/>
    <w:rsid w:val="00691D62"/>
    <w:rsid w:val="006A215E"/>
    <w:rsid w:val="006B2481"/>
    <w:rsid w:val="00754FD3"/>
    <w:rsid w:val="0076023A"/>
    <w:rsid w:val="0078217D"/>
    <w:rsid w:val="007A2CA2"/>
    <w:rsid w:val="007B3C82"/>
    <w:rsid w:val="007B5AAE"/>
    <w:rsid w:val="007D4134"/>
    <w:rsid w:val="007D696B"/>
    <w:rsid w:val="00803B1B"/>
    <w:rsid w:val="008301DE"/>
    <w:rsid w:val="00895B9E"/>
    <w:rsid w:val="008A3133"/>
    <w:rsid w:val="008D364E"/>
    <w:rsid w:val="009207DE"/>
    <w:rsid w:val="00920B35"/>
    <w:rsid w:val="009211E8"/>
    <w:rsid w:val="00925AA9"/>
    <w:rsid w:val="00936F5E"/>
    <w:rsid w:val="009374CD"/>
    <w:rsid w:val="00972DD5"/>
    <w:rsid w:val="009A2382"/>
    <w:rsid w:val="009C4623"/>
    <w:rsid w:val="009E5526"/>
    <w:rsid w:val="009F35E9"/>
    <w:rsid w:val="009F4B6A"/>
    <w:rsid w:val="00A1469C"/>
    <w:rsid w:val="00A73A0E"/>
    <w:rsid w:val="00A96BF9"/>
    <w:rsid w:val="00AC3199"/>
    <w:rsid w:val="00AC5D82"/>
    <w:rsid w:val="00B24021"/>
    <w:rsid w:val="00B27B60"/>
    <w:rsid w:val="00B627D6"/>
    <w:rsid w:val="00BA59F6"/>
    <w:rsid w:val="00BD6EAC"/>
    <w:rsid w:val="00BD7ADE"/>
    <w:rsid w:val="00C657BF"/>
    <w:rsid w:val="00C93A9E"/>
    <w:rsid w:val="00C958B1"/>
    <w:rsid w:val="00CA36CB"/>
    <w:rsid w:val="00CD20D8"/>
    <w:rsid w:val="00CD75DB"/>
    <w:rsid w:val="00D109F4"/>
    <w:rsid w:val="00D26285"/>
    <w:rsid w:val="00D45827"/>
    <w:rsid w:val="00D66A64"/>
    <w:rsid w:val="00D82EC2"/>
    <w:rsid w:val="00DF4403"/>
    <w:rsid w:val="00E30ADC"/>
    <w:rsid w:val="00E37B29"/>
    <w:rsid w:val="00E5533C"/>
    <w:rsid w:val="00E678F6"/>
    <w:rsid w:val="00E84108"/>
    <w:rsid w:val="00EB0940"/>
    <w:rsid w:val="00EE24B7"/>
    <w:rsid w:val="00F02D50"/>
    <w:rsid w:val="00F12AE9"/>
    <w:rsid w:val="00F14899"/>
    <w:rsid w:val="00F71181"/>
    <w:rsid w:val="00F73592"/>
    <w:rsid w:val="00F90D45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96BF9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96BF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Normal"/>
    <w:uiPriority w:val="99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A96BF9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F732F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74C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93A9E"/>
    <w:pPr>
      <w:spacing w:before="100" w:beforeAutospacing="1" w:after="119" w:line="240" w:lineRule="auto"/>
    </w:pPr>
    <w:rPr>
      <w:sz w:val="24"/>
      <w:szCs w:val="24"/>
      <w:lang w:eastAsia="ru-RU"/>
    </w:rPr>
  </w:style>
  <w:style w:type="paragraph" w:customStyle="1" w:styleId="a">
    <w:name w:val="Знак Знак Знак Знак"/>
    <w:basedOn w:val="Normal"/>
    <w:uiPriority w:val="99"/>
    <w:rsid w:val="00C93A9E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34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7144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</TotalTime>
  <Pages>10</Pages>
  <Words>3259</Words>
  <Characters>18577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dc:description/>
  <cp:lastModifiedBy>User</cp:lastModifiedBy>
  <cp:revision>8</cp:revision>
  <cp:lastPrinted>2021-12-07T13:26:00Z</cp:lastPrinted>
  <dcterms:created xsi:type="dcterms:W3CDTF">2021-11-19T12:28:00Z</dcterms:created>
  <dcterms:modified xsi:type="dcterms:W3CDTF">2021-12-07T13:30:00Z</dcterms:modified>
</cp:coreProperties>
</file>