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6AF" w:rsidRPr="00D3359C" w:rsidRDefault="00DC56AF" w:rsidP="00E168C1">
      <w:pPr>
        <w:spacing w:after="0"/>
        <w:jc w:val="center"/>
        <w:rPr>
          <w:rFonts w:ascii="Times New Roman" w:eastAsia="Times New Roman" w:hAnsi="Times New Roman" w:cs="Times New Roman"/>
          <w:b/>
          <w:bCs/>
          <w:sz w:val="28"/>
          <w:szCs w:val="28"/>
          <w:lang w:eastAsia="ru-RU"/>
        </w:rPr>
      </w:pPr>
      <w:r w:rsidRPr="00D3359C">
        <w:rPr>
          <w:rFonts w:ascii="Times New Roman" w:eastAsia="Times New Roman" w:hAnsi="Times New Roman" w:cs="Times New Roman"/>
          <w:b/>
          <w:bCs/>
          <w:sz w:val="28"/>
          <w:szCs w:val="28"/>
          <w:lang w:eastAsia="ru-RU"/>
        </w:rPr>
        <w:t>П</w:t>
      </w:r>
      <w:r w:rsidRPr="00D3359C">
        <w:rPr>
          <w:rFonts w:ascii="Times New Roman" w:hAnsi="Times New Roman" w:cs="Times New Roman"/>
          <w:b/>
          <w:sz w:val="28"/>
          <w:szCs w:val="28"/>
        </w:rPr>
        <w:t xml:space="preserve">рокуратура </w:t>
      </w:r>
      <w:proofErr w:type="spellStart"/>
      <w:r w:rsidRPr="00D3359C">
        <w:rPr>
          <w:rFonts w:ascii="Times New Roman" w:hAnsi="Times New Roman" w:cs="Times New Roman"/>
          <w:b/>
          <w:sz w:val="28"/>
          <w:szCs w:val="28"/>
        </w:rPr>
        <w:t>Большеигнатовского</w:t>
      </w:r>
      <w:proofErr w:type="spellEnd"/>
      <w:r w:rsidRPr="00D3359C">
        <w:rPr>
          <w:rFonts w:ascii="Times New Roman" w:hAnsi="Times New Roman" w:cs="Times New Roman"/>
          <w:b/>
          <w:sz w:val="28"/>
          <w:szCs w:val="28"/>
        </w:rPr>
        <w:t xml:space="preserve"> района разъясняет:</w:t>
      </w:r>
    </w:p>
    <w:p w:rsidR="00D3359C" w:rsidRPr="00D3359C" w:rsidRDefault="00D3359C" w:rsidP="00D3359C">
      <w:pPr>
        <w:spacing w:after="0" w:line="240"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w:t>
      </w:r>
      <w:r w:rsidRPr="00D3359C">
        <w:rPr>
          <w:rFonts w:ascii="Times New Roman" w:eastAsia="Times New Roman" w:hAnsi="Times New Roman" w:cs="Times New Roman"/>
          <w:b/>
          <w:bCs/>
          <w:color w:val="000000"/>
          <w:sz w:val="28"/>
          <w:szCs w:val="28"/>
        </w:rPr>
        <w:t>тветственность за пропаганду и публичное демонстрирование запрещенной атрибутики или символики</w:t>
      </w:r>
    </w:p>
    <w:p w:rsidR="00E51341" w:rsidRPr="00E51341" w:rsidRDefault="00E51341" w:rsidP="004418ED">
      <w:pPr>
        <w:ind w:firstLine="709"/>
        <w:jc w:val="center"/>
        <w:rPr>
          <w:rFonts w:ascii="Times New Roman" w:eastAsia="Times New Roman" w:hAnsi="Times New Roman" w:cs="Times New Roman"/>
          <w:b/>
          <w:bCs/>
          <w:sz w:val="28"/>
          <w:szCs w:val="28"/>
          <w:lang w:eastAsia="ru-RU"/>
        </w:rPr>
      </w:pP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В соответствии со ст. 6 Федерального закона от 19.05.1995 № 80-ФЗ «Об увековечении Победы советского народа в Великой Отечественной войне 1941 - 1945 годов» в Российской Федерации запрещается использование в любой форме нацистской символики как оскорбляющей многонациональный народ и память о понесенных в Великой Отечественной войне жертвах.</w:t>
      </w: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Запрещается пропаганда либо публичное демонстрирование атрибутики или символики организаций, сотрудничавших с группами, организациями, движениями или лицами, признанными преступными либо виновными в совершении преступлений в соответствии с приговором Международного военного трибунала для суда и наказания главных военных преступников европейских стран оси (Нюрнбергского трибунала) либо приговорами национальных, военных или оккупационных трибуналов, основанными на приговоре Международного военного трибунала для суда и наказания главных военных преступников европейских стран оси (Нюрнбергского трибунала) либо вынесенными в период Великой Отечественной войны, Второй мировой войны.</w:t>
      </w: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Запрещается пропаганда либо публичное демонстрирование атрибутики или символики организаций (в том числе иностранных или международных), отрицающих факты и выводы, установленные приговором Международного военного трибунала для суда и наказания главных военных преступников европейских стран оси (Нюрнбергского трибунала) либо приговорами национальных, военных или оккупационных трибуналов, основанными на приговоре Международного военного трибунала для суда и наказания главных военных преступников европейских стран оси (Нюрнбергского трибунала) либо вынесенными в период Великой Отечественной войны, Второй мировой войны.</w:t>
      </w: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Постановлением от 11.06.2015 № 574 Правительство РФ утвердило Правила определения перечня таких организаций, а также их атрибутики и символики.</w:t>
      </w: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Указанный перечень ведет Министерство юстиции Российской Федерации. Сведения для его формирования предоставляются Министерством внутренних дел Российской Федерации, Министерством иностранных дел Российской Федерации, Федеральной службой безопасности Российской Федерации, Генеральной прокуратурой Российской Федерации и иными федеральными органами государственной власти.</w:t>
      </w: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Перечень размещается на официальном сайте Министерства юстиции Российской Федерации в информационно-телекоммуникационной сети «Интернет».</w:t>
      </w: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Статьей 20.3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D3359C" w:rsidRPr="00D3359C" w:rsidRDefault="00D3359C" w:rsidP="00D3359C">
      <w:pPr>
        <w:spacing w:after="0" w:line="240" w:lineRule="auto"/>
        <w:ind w:firstLine="709"/>
        <w:jc w:val="both"/>
        <w:rPr>
          <w:rFonts w:ascii="Times New Roman" w:eastAsia="Times New Roman" w:hAnsi="Times New Roman" w:cs="Times New Roman"/>
          <w:color w:val="000000"/>
          <w:sz w:val="24"/>
          <w:szCs w:val="24"/>
        </w:rPr>
      </w:pPr>
      <w:r w:rsidRPr="00D3359C">
        <w:rPr>
          <w:rFonts w:ascii="Times New Roman" w:eastAsia="Times New Roman" w:hAnsi="Times New Roman" w:cs="Times New Roman"/>
          <w:color w:val="000000"/>
          <w:sz w:val="24"/>
          <w:szCs w:val="24"/>
        </w:rPr>
        <w:t>Санкция данной статьи предусматривает наказание в виде наложения штрафа</w:t>
      </w:r>
      <w:r>
        <w:rPr>
          <w:rFonts w:ascii="Times New Roman" w:eastAsia="Times New Roman" w:hAnsi="Times New Roman" w:cs="Times New Roman"/>
          <w:color w:val="000000"/>
          <w:sz w:val="24"/>
          <w:szCs w:val="24"/>
        </w:rPr>
        <w:t xml:space="preserve"> </w:t>
      </w:r>
      <w:bookmarkStart w:id="0" w:name="_GoBack"/>
      <w:bookmarkEnd w:id="0"/>
      <w:r w:rsidRPr="00D3359C">
        <w:rPr>
          <w:rFonts w:ascii="Times New Roman" w:hAnsi="Times New Roman" w:cs="Times New Roman"/>
          <w:color w:val="000000"/>
          <w:sz w:val="24"/>
          <w:szCs w:val="24"/>
          <w:shd w:val="clear" w:color="auto" w:fill="FFFFFF"/>
        </w:rPr>
        <w:t>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E87913" w:rsidRPr="004418ED" w:rsidRDefault="00E87913" w:rsidP="00DA1D48">
      <w:pPr>
        <w:spacing w:after="0" w:line="240" w:lineRule="auto"/>
        <w:ind w:firstLine="709"/>
        <w:jc w:val="both"/>
        <w:rPr>
          <w:rFonts w:ascii="Times New Roman" w:eastAsia="Times New Roman" w:hAnsi="Times New Roman" w:cs="Times New Roman"/>
          <w:sz w:val="28"/>
          <w:szCs w:val="28"/>
          <w:lang w:eastAsia="ru-RU"/>
        </w:rPr>
      </w:pPr>
    </w:p>
    <w:sectPr w:rsidR="00E87913" w:rsidRPr="004418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393"/>
    <w:rsid w:val="001C7922"/>
    <w:rsid w:val="001D0393"/>
    <w:rsid w:val="004418ED"/>
    <w:rsid w:val="00AC1D39"/>
    <w:rsid w:val="00D3359C"/>
    <w:rsid w:val="00DA1D48"/>
    <w:rsid w:val="00DC56AF"/>
    <w:rsid w:val="00E168C1"/>
    <w:rsid w:val="00E51341"/>
    <w:rsid w:val="00E87913"/>
    <w:rsid w:val="00EE3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AE899"/>
  <w15:chartTrackingRefBased/>
  <w15:docId w15:val="{DBD3F7F3-A6BD-4883-A36E-6C861734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1D39"/>
  </w:style>
  <w:style w:type="paragraph" w:styleId="3">
    <w:name w:val="heading 3"/>
    <w:basedOn w:val="a"/>
    <w:link w:val="30"/>
    <w:uiPriority w:val="9"/>
    <w:qFormat/>
    <w:rsid w:val="001C79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792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C79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1D3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1D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258066">
      <w:bodyDiv w:val="1"/>
      <w:marLeft w:val="0"/>
      <w:marRight w:val="0"/>
      <w:marTop w:val="0"/>
      <w:marBottom w:val="0"/>
      <w:divBdr>
        <w:top w:val="none" w:sz="0" w:space="0" w:color="auto"/>
        <w:left w:val="none" w:sz="0" w:space="0" w:color="auto"/>
        <w:bottom w:val="none" w:sz="0" w:space="0" w:color="auto"/>
        <w:right w:val="none" w:sz="0" w:space="0" w:color="auto"/>
      </w:divBdr>
    </w:div>
    <w:div w:id="173847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496</Words>
  <Characters>2830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Воронкова Диана Владиславовна</cp:lastModifiedBy>
  <cp:revision>12</cp:revision>
  <cp:lastPrinted>2021-05-28T08:08:00Z</cp:lastPrinted>
  <dcterms:created xsi:type="dcterms:W3CDTF">2021-05-19T09:25:00Z</dcterms:created>
  <dcterms:modified xsi:type="dcterms:W3CDTF">2021-12-21T16:27:00Z</dcterms:modified>
</cp:coreProperties>
</file>