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51341" w:rsidRPr="002A343D" w:rsidRDefault="002A343D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begin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instrText xml:space="preserve"> HYPERLINK "https://muob.ru/aktualno/ofitsialnye-organy-informiruyut/15275/1259967/" </w:instrTex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separate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Компенсация морального вреда за нарушенные трудовые права</w:t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fldChar w:fldCharType="end"/>
      </w:r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Условия, когда сотрудник может потребовать возместить ему моральный вред, если нарушены его трудовые права, закреплены в статьях 391 и 392 Трудового кодекса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о компенсации морального вреда работник может заявить одновременно с требованием о восстановлении нарушенных трудовых прав, либо в течение трехмесячного срока с момента вступления в законную силу решения суда, которым эти права были восстановлены полностью или частично.</w:t>
      </w: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Споры о компенсации морального рассматриваются только судом. Пропущенный по уважительным причинам срок подачи искового заявления может быть восстановлен. Вопрос об уважительности причин пропуска срока и о его восстановлении разрешается с учетом всей совокупности обстоятельств конкретного дела, не позволивших работнику своевременно обратиться в суд.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2A343D"/>
    <w:rsid w:val="00374301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2022-05-26T05:51:00Z</dcterms:created>
  <dcterms:modified xsi:type="dcterms:W3CDTF">2022-05-26T05:51:00Z</dcterms:modified>
</cp:coreProperties>
</file>