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FCBF7" w14:textId="77777777"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14:paraId="4DDD28FD" w14:textId="21F0BBE4" w:rsidR="00C372CA" w:rsidRPr="00E6642E" w:rsidRDefault="00E6642E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2023 году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машино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-мест,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ФЗ «О государственной кадастровой оценке»</w:t>
      </w:r>
    </w:p>
    <w:p w14:paraId="492E5A19" w14:textId="77777777" w:rsidR="00C372CA" w:rsidRPr="00E6642E" w:rsidRDefault="00C372CA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14:paraId="5379AEB4" w14:textId="77777777" w:rsidR="00E6642E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ФЗ «О государственной кадастровой оценке» (далее – Закон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14:paraId="6285B9CE" w14:textId="6661D32B" w:rsidR="00036C0A" w:rsidRPr="00E6642E" w:rsidRDefault="00E6642E" w:rsidP="00E66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sectPr w:rsidR="00036C0A" w:rsidRPr="00E6642E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70089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PK10</cp:lastModifiedBy>
  <cp:revision>31</cp:revision>
  <dcterms:created xsi:type="dcterms:W3CDTF">2021-09-21T13:12:00Z</dcterms:created>
  <dcterms:modified xsi:type="dcterms:W3CDTF">2022-06-28T09:57:00Z</dcterms:modified>
</cp:coreProperties>
</file>