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192" w:line="288"/>
        <w:ind w:right="0" w:left="0" w:firstLine="0"/>
        <w:jc w:val="left"/>
        <w:rPr>
          <w:rFonts w:ascii="inherit" w:hAnsi="inherit" w:cs="inherit" w:eastAsia="inherit"/>
          <w:b/>
          <w:color w:val="auto"/>
          <w:spacing w:val="0"/>
          <w:position w:val="0"/>
          <w:sz w:val="35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35"/>
          <w:shd w:fill="auto" w:val="clear"/>
        </w:rPr>
        <w:t xml:space="preserve">Вниманию</w:t>
      </w:r>
      <w:r>
        <w:rPr>
          <w:rFonts w:ascii="inherit" w:hAnsi="inherit" w:cs="inherit" w:eastAsia="inherit"/>
          <w:b/>
          <w:color w:val="auto"/>
          <w:spacing w:val="0"/>
          <w:position w:val="0"/>
          <w:sz w:val="35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35"/>
          <w:shd w:fill="auto" w:val="clear"/>
        </w:rPr>
        <w:t xml:space="preserve">предпринимателей</w:t>
      </w:r>
      <w:r>
        <w:rPr>
          <w:rFonts w:ascii="inherit" w:hAnsi="inherit" w:cs="inherit" w:eastAsia="inherit"/>
          <w:b/>
          <w:color w:val="auto"/>
          <w:spacing w:val="0"/>
          <w:position w:val="0"/>
          <w:sz w:val="35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35"/>
          <w:shd w:fill="auto" w:val="clear"/>
        </w:rPr>
        <w:t xml:space="preserve">поменялись</w:t>
      </w:r>
      <w:r>
        <w:rPr>
          <w:rFonts w:ascii="inherit" w:hAnsi="inherit" w:cs="inherit" w:eastAsia="inherit"/>
          <w:b/>
          <w:color w:val="auto"/>
          <w:spacing w:val="0"/>
          <w:position w:val="0"/>
          <w:sz w:val="35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35"/>
          <w:shd w:fill="auto" w:val="clear"/>
        </w:rPr>
        <w:t xml:space="preserve">КБК</w:t>
      </w:r>
      <w:r>
        <w:rPr>
          <w:rFonts w:ascii="inherit" w:hAnsi="inherit" w:cs="inherit" w:eastAsia="inherit"/>
          <w:b/>
          <w:color w:val="auto"/>
          <w:spacing w:val="0"/>
          <w:position w:val="0"/>
          <w:sz w:val="35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35"/>
          <w:shd w:fill="auto" w:val="clear"/>
        </w:rPr>
        <w:t xml:space="preserve">и</w:t>
      </w:r>
      <w:r>
        <w:rPr>
          <w:rFonts w:ascii="inherit" w:hAnsi="inherit" w:cs="inherit" w:eastAsia="inherit"/>
          <w:b/>
          <w:color w:val="auto"/>
          <w:spacing w:val="0"/>
          <w:position w:val="0"/>
          <w:sz w:val="35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35"/>
          <w:shd w:fill="auto" w:val="clear"/>
        </w:rPr>
        <w:t xml:space="preserve">размер</w:t>
      </w:r>
      <w:r>
        <w:rPr>
          <w:rFonts w:ascii="inherit" w:hAnsi="inherit" w:cs="inherit" w:eastAsia="inherit"/>
          <w:b/>
          <w:color w:val="auto"/>
          <w:spacing w:val="0"/>
          <w:position w:val="0"/>
          <w:sz w:val="35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35"/>
          <w:shd w:fill="auto" w:val="clear"/>
        </w:rPr>
        <w:t xml:space="preserve">страховых</w:t>
      </w:r>
      <w:r>
        <w:rPr>
          <w:rFonts w:ascii="inherit" w:hAnsi="inherit" w:cs="inherit" w:eastAsia="inherit"/>
          <w:b/>
          <w:color w:val="auto"/>
          <w:spacing w:val="0"/>
          <w:position w:val="0"/>
          <w:sz w:val="35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35"/>
          <w:shd w:fill="auto" w:val="clear"/>
        </w:rPr>
        <w:t xml:space="preserve">взносов</w:t>
      </w:r>
    </w:p>
    <w:p>
      <w:pPr>
        <w:spacing w:before="0" w:after="0" w:line="240"/>
        <w:ind w:right="0" w:left="0" w:firstLine="0"/>
        <w:jc w:val="left"/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Пенсионный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фонд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обращает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внимание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самозанятого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населения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января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2016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года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целях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раздельного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учёта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страховых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взносов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внесены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изменения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коды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бюджетной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классификации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–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КБК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применяемых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для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уплаты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страховых</w:t>
      </w:r>
      <w:r>
        <w:rPr>
          <w:rFonts w:ascii="inherit" w:hAnsi="inherit" w:cs="inherit" w:eastAsia="inheri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взносов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 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фиксированном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размере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на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обязательное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пенсионное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и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обязательное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медицинское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страхование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240" w:line="240"/>
        <w:ind w:right="0" w:left="0" w:firstLine="0"/>
        <w:jc w:val="both"/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</w:pP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 </w:t>
      </w:r>
    </w:p>
    <w:p>
      <w:pPr>
        <w:spacing w:before="0" w:after="240" w:line="240"/>
        <w:ind w:right="0" w:left="0" w:firstLine="0"/>
        <w:jc w:val="both"/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  КБК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–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один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из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неотъемлемых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реквизитов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которые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требуется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вносить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плательщикам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при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перечислении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платежей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бюджет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страны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Это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цепочка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из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20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чисел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представляющих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собой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особый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шифр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Каждое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число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этой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цепочке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кодирует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определённую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группу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бюджетных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поступлений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национальную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систему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финансов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Из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установленной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очерёдности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этих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групп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можно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определить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откуда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поступил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платёж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какова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его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цель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кто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именно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представляется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адресатом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и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на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какие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миссии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переводятся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денежные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ресурсы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240" w:line="240"/>
        <w:ind w:right="0" w:left="0" w:firstLine="0"/>
        <w:jc w:val="both"/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  Если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указать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неверный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КБК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то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платежи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поступят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не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по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назначению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соответственно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обязанность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плательщика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по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уплате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страховых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взносов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будет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не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исполненной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Такие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ошибки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не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редкость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даже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тогда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когда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коды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бюджетной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классификации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остаются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неизменными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на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протяжении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многих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лет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А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случае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неуплаты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или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неполной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уплаты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страховых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взносов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установленный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срок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–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начисляются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пени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Поэтому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мы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и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обращаем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внимание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на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то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что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КБК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поменялись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240" w:line="240"/>
        <w:ind w:right="0" w:left="0" w:firstLine="0"/>
        <w:jc w:val="both"/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 Напомним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страховые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взносы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отдельно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на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обязательное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пенсионное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страхование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и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обязательное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медицинское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страхование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фиксированном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размере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уплачивают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индивидуальные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предприниматели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главы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и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члены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крестьянских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(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фермерских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)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хозяйств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адвокаты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нотариусы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и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иные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лица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занимающиеся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частной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практикой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Омской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области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к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этой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категории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населения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относится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48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тысяч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человек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Периодичность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уплаты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можно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выбрать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на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своё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усмотрение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–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либо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единовременно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либо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несколькими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платежами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течение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года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но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не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позднее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31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декабря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240" w:line="240"/>
        <w:ind w:right="0" w:left="0" w:firstLine="0"/>
        <w:jc w:val="both"/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    Более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подробно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ознакомиться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со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всеми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изменениями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части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уплаты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страховых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взносов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и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новыми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КБК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можно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на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сайте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ПФР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разделе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«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Страхователям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»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во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вкладке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«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Самозанятому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населению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»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подразделе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«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Порядок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уплаты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страховых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взносов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».</w:t>
      </w:r>
    </w:p>
    <w:p>
      <w:pPr>
        <w:spacing w:before="0" w:after="240" w:line="240"/>
        <w:ind w:right="0" w:left="0" w:firstLine="0"/>
        <w:jc w:val="both"/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   С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1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января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2016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г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минимальный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размер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оплаты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труда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установлен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размере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6204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руб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месяц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Соответственно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размер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взносов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подлежащих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уплате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индивидуальными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предпринимателями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ФФОМС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вырос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до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3796,85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руб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. (6204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руб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. x 5,1% x 12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мес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.).</w:t>
      </w:r>
    </w:p>
    <w:p>
      <w:pPr>
        <w:spacing w:before="0" w:after="240" w:line="240"/>
        <w:ind w:right="0" w:left="0" w:firstLine="0"/>
        <w:jc w:val="both"/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Уплата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пенсионных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взносов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зависит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от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размера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дохода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полученного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ИП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за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расчетный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период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Если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индивидуальный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предприниматель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за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год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заработает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не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более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300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тыс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руб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.,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то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за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себя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он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уплатит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ПФР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только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платеж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фиксированном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размере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19356,48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руб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. (6204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руб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. x 26% x12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мес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.).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Если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доход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предпринимателя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за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год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будет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свыше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300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тыс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руб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.,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то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ему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будет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необходимо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уплатить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1%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от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дохода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превышающего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эту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сумму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но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не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более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154 851,84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руб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. (8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х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6204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руб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.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х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12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х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26%).</w:t>
      </w:r>
    </w:p>
    <w:p>
      <w:pPr>
        <w:spacing w:before="0" w:after="24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