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EE5" w:rsidRPr="009D7EE5" w:rsidRDefault="009D7EE5" w:rsidP="009D7EE5">
      <w:pPr>
        <w:spacing w:after="192" w:line="288" w:lineRule="atLeast"/>
        <w:textAlignment w:val="baseline"/>
        <w:outlineLvl w:val="0"/>
        <w:rPr>
          <w:rFonts w:ascii="inherit" w:eastAsia="Times New Roman" w:hAnsi="inherit" w:cs="Arial"/>
          <w:b/>
          <w:bCs/>
          <w:color w:val="000000"/>
          <w:kern w:val="36"/>
          <w:sz w:val="35"/>
          <w:szCs w:val="35"/>
          <w:lang w:eastAsia="ru-RU"/>
        </w:rPr>
      </w:pPr>
      <w:r w:rsidRPr="009D7EE5">
        <w:rPr>
          <w:rFonts w:ascii="inherit" w:eastAsia="Times New Roman" w:hAnsi="inherit" w:cs="Arial"/>
          <w:b/>
          <w:bCs/>
          <w:color w:val="000000"/>
          <w:kern w:val="36"/>
          <w:sz w:val="35"/>
          <w:szCs w:val="35"/>
          <w:lang w:eastAsia="ru-RU"/>
        </w:rPr>
        <w:t>Порядок уплаты страховых взносов в 2016 году</w:t>
      </w:r>
    </w:p>
    <w:p w:rsidR="009D7EE5" w:rsidRPr="009D7EE5" w:rsidRDefault="009D7EE5" w:rsidP="009D7EE5">
      <w:pPr>
        <w:spacing w:after="0" w:line="300" w:lineRule="atLeast"/>
        <w:textAlignment w:val="baseline"/>
        <w:rPr>
          <w:rFonts w:ascii="inherit" w:eastAsia="Times New Roman" w:hAnsi="inherit" w:cs="Arial"/>
          <w:color w:val="000000"/>
          <w:lang w:eastAsia="ru-RU"/>
        </w:rPr>
      </w:pPr>
      <w:r w:rsidRPr="009D7EE5">
        <w:rPr>
          <w:rFonts w:ascii="inherit" w:eastAsia="Times New Roman" w:hAnsi="inherit" w:cs="Arial"/>
          <w:b/>
          <w:bCs/>
          <w:color w:val="4DA6E8"/>
          <w:sz w:val="24"/>
          <w:szCs w:val="24"/>
          <w:bdr w:val="none" w:sz="0" w:space="0" w:color="auto" w:frame="1"/>
          <w:lang w:eastAsia="ru-RU"/>
        </w:rPr>
        <w:t xml:space="preserve">Для </w:t>
      </w:r>
      <w:proofErr w:type="spellStart"/>
      <w:r w:rsidRPr="009D7EE5">
        <w:rPr>
          <w:rFonts w:ascii="inherit" w:eastAsia="Times New Roman" w:hAnsi="inherit" w:cs="Arial"/>
          <w:b/>
          <w:bCs/>
          <w:color w:val="4DA6E8"/>
          <w:sz w:val="24"/>
          <w:szCs w:val="24"/>
          <w:bdr w:val="none" w:sz="0" w:space="0" w:color="auto" w:frame="1"/>
          <w:lang w:eastAsia="ru-RU"/>
        </w:rPr>
        <w:t>самозанятого</w:t>
      </w:r>
      <w:proofErr w:type="spellEnd"/>
      <w:r w:rsidRPr="009D7EE5">
        <w:rPr>
          <w:rFonts w:ascii="inherit" w:eastAsia="Times New Roman" w:hAnsi="inherit" w:cs="Arial"/>
          <w:b/>
          <w:bCs/>
          <w:color w:val="4DA6E8"/>
          <w:sz w:val="24"/>
          <w:szCs w:val="24"/>
          <w:bdr w:val="none" w:sz="0" w:space="0" w:color="auto" w:frame="1"/>
          <w:lang w:eastAsia="ru-RU"/>
        </w:rPr>
        <w:t xml:space="preserve"> населения, не производящего выплаты физическим лицам</w:t>
      </w:r>
    </w:p>
    <w:p w:rsidR="009D7EE5" w:rsidRPr="009D7EE5" w:rsidRDefault="009D7EE5" w:rsidP="009D7EE5">
      <w:pPr>
        <w:spacing w:after="240" w:line="300" w:lineRule="atLeast"/>
        <w:textAlignment w:val="baseline"/>
        <w:rPr>
          <w:rFonts w:ascii="inherit" w:eastAsia="Times New Roman" w:hAnsi="inherit" w:cs="Arial"/>
          <w:color w:val="000000"/>
          <w:lang w:eastAsia="ru-RU"/>
        </w:rPr>
      </w:pPr>
      <w:r w:rsidRPr="009D7EE5">
        <w:rPr>
          <w:rFonts w:ascii="inherit" w:eastAsia="Times New Roman" w:hAnsi="inherit" w:cs="Arial"/>
          <w:color w:val="000000"/>
          <w:lang w:eastAsia="ru-RU"/>
        </w:rPr>
        <w:t>Для Вас установлен фиксированный размер страховых взносов на обязательное пенсионное и обязательное медицинское страхование.</w:t>
      </w:r>
    </w:p>
    <w:tbl>
      <w:tblPr>
        <w:tblW w:w="14985" w:type="dxa"/>
        <w:shd w:val="clear" w:color="auto" w:fill="FFFFFF"/>
        <w:tblCellMar>
          <w:left w:w="0" w:type="dxa"/>
          <w:right w:w="0" w:type="dxa"/>
        </w:tblCellMar>
        <w:tblLook w:val="04A0" w:firstRow="1" w:lastRow="0" w:firstColumn="1" w:lastColumn="0" w:noHBand="0" w:noVBand="1"/>
      </w:tblPr>
      <w:tblGrid>
        <w:gridCol w:w="3920"/>
        <w:gridCol w:w="2398"/>
        <w:gridCol w:w="5387"/>
        <w:gridCol w:w="3280"/>
      </w:tblGrid>
      <w:tr w:rsidR="009D7EE5" w:rsidRPr="009D7EE5" w:rsidTr="009D7EE5">
        <w:tc>
          <w:tcPr>
            <w:tcW w:w="0" w:type="auto"/>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 </w:t>
            </w:r>
          </w:p>
        </w:tc>
        <w:tc>
          <w:tcPr>
            <w:tcW w:w="0" w:type="auto"/>
            <w:gridSpan w:val="2"/>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0" w:line="240" w:lineRule="auto"/>
              <w:jc w:val="center"/>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На обязательное пенсионное страхование</w:t>
            </w:r>
          </w:p>
        </w:tc>
        <w:tc>
          <w:tcPr>
            <w:tcW w:w="0" w:type="auto"/>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0" w:line="240" w:lineRule="auto"/>
              <w:jc w:val="center"/>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На обязательное медицинское страхование</w:t>
            </w:r>
          </w:p>
        </w:tc>
      </w:tr>
      <w:tr w:rsidR="009D7EE5" w:rsidRPr="009D7EE5" w:rsidTr="009D7EE5">
        <w:tc>
          <w:tcPr>
            <w:tcW w:w="0" w:type="auto"/>
            <w:tcBorders>
              <w:top w:val="single" w:sz="6" w:space="0" w:color="DADADA"/>
              <w:left w:val="single" w:sz="6" w:space="0" w:color="DADADA"/>
              <w:bottom w:val="single" w:sz="6" w:space="0" w:color="DADADA"/>
              <w:right w:val="single" w:sz="6" w:space="0" w:color="DADADA"/>
            </w:tcBorders>
            <w:shd w:val="clear" w:color="auto" w:fill="F2F5F7"/>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 </w:t>
            </w:r>
          </w:p>
        </w:tc>
        <w:tc>
          <w:tcPr>
            <w:tcW w:w="0" w:type="auto"/>
            <w:tcBorders>
              <w:top w:val="single" w:sz="6" w:space="0" w:color="DADADA"/>
              <w:left w:val="single" w:sz="6" w:space="0" w:color="DADADA"/>
              <w:bottom w:val="single" w:sz="6" w:space="0" w:color="DADADA"/>
              <w:right w:val="single" w:sz="6" w:space="0" w:color="DADADA"/>
            </w:tcBorders>
            <w:shd w:val="clear" w:color="auto" w:fill="F2F5F7"/>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Доход до 300 000 рублей в год</w:t>
            </w:r>
          </w:p>
        </w:tc>
        <w:tc>
          <w:tcPr>
            <w:tcW w:w="0" w:type="auto"/>
            <w:tcBorders>
              <w:top w:val="single" w:sz="6" w:space="0" w:color="DADADA"/>
              <w:left w:val="single" w:sz="6" w:space="0" w:color="DADADA"/>
              <w:bottom w:val="single" w:sz="6" w:space="0" w:color="DADADA"/>
              <w:right w:val="single" w:sz="6" w:space="0" w:color="DADADA"/>
            </w:tcBorders>
            <w:shd w:val="clear" w:color="auto" w:fill="F2F5F7"/>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Доход свыше 300 000 рублей в год</w:t>
            </w:r>
          </w:p>
        </w:tc>
        <w:tc>
          <w:tcPr>
            <w:tcW w:w="0" w:type="auto"/>
            <w:tcBorders>
              <w:top w:val="single" w:sz="6" w:space="0" w:color="DADADA"/>
              <w:left w:val="single" w:sz="6" w:space="0" w:color="DADADA"/>
              <w:bottom w:val="single" w:sz="6" w:space="0" w:color="DADADA"/>
              <w:right w:val="single" w:sz="6" w:space="0" w:color="DADADA"/>
            </w:tcBorders>
            <w:shd w:val="clear" w:color="auto" w:fill="F2F5F7"/>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 </w:t>
            </w:r>
          </w:p>
        </w:tc>
      </w:tr>
      <w:tr w:rsidR="009D7EE5" w:rsidRPr="009D7EE5" w:rsidTr="009D7EE5">
        <w:tc>
          <w:tcPr>
            <w:tcW w:w="0" w:type="auto"/>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 </w:t>
            </w:r>
          </w:p>
        </w:tc>
        <w:tc>
          <w:tcPr>
            <w:tcW w:w="0" w:type="auto"/>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sz w:val="24"/>
                <w:szCs w:val="24"/>
                <w:lang w:eastAsia="ru-RU"/>
              </w:rPr>
              <w:t>МРОТ х 26% х12</w:t>
            </w:r>
          </w:p>
        </w:tc>
        <w:tc>
          <w:tcPr>
            <w:tcW w:w="0" w:type="auto"/>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24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sz w:val="24"/>
                <w:szCs w:val="24"/>
                <w:lang w:eastAsia="ru-RU"/>
              </w:rPr>
              <w:t>МРОТ х 26% х12 + 1% от суммы &gt;300 тыс. рублей</w:t>
            </w:r>
          </w:p>
          <w:p w:rsidR="009D7EE5" w:rsidRPr="009D7EE5" w:rsidRDefault="009D7EE5" w:rsidP="009D7EE5">
            <w:pPr>
              <w:spacing w:after="24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sz w:val="24"/>
                <w:szCs w:val="24"/>
                <w:lang w:eastAsia="ru-RU"/>
              </w:rPr>
              <w:t>Максимально:</w:t>
            </w:r>
          </w:p>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sz w:val="24"/>
                <w:szCs w:val="24"/>
                <w:lang w:eastAsia="ru-RU"/>
              </w:rPr>
              <w:t>8 МРОТ х 26% х 12</w:t>
            </w:r>
          </w:p>
        </w:tc>
        <w:tc>
          <w:tcPr>
            <w:tcW w:w="0" w:type="auto"/>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sz w:val="24"/>
                <w:szCs w:val="24"/>
                <w:lang w:eastAsia="ru-RU"/>
              </w:rPr>
              <w:t>МРОТ х 5,1% х12</w:t>
            </w:r>
          </w:p>
        </w:tc>
      </w:tr>
      <w:tr w:rsidR="009D7EE5" w:rsidRPr="009D7EE5" w:rsidTr="009D7EE5">
        <w:tc>
          <w:tcPr>
            <w:tcW w:w="0" w:type="auto"/>
            <w:tcBorders>
              <w:top w:val="single" w:sz="6" w:space="0" w:color="DADADA"/>
              <w:left w:val="single" w:sz="6" w:space="0" w:color="DADADA"/>
              <w:bottom w:val="single" w:sz="6" w:space="0" w:color="DADADA"/>
              <w:right w:val="single" w:sz="6" w:space="0" w:color="DADADA"/>
            </w:tcBorders>
            <w:shd w:val="clear" w:color="auto" w:fill="F2F5F7"/>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Размер МРОТ в 2016 году</w:t>
            </w:r>
          </w:p>
        </w:tc>
        <w:tc>
          <w:tcPr>
            <w:tcW w:w="0" w:type="auto"/>
            <w:gridSpan w:val="3"/>
            <w:tcBorders>
              <w:top w:val="single" w:sz="6" w:space="0" w:color="DADADA"/>
              <w:left w:val="single" w:sz="6" w:space="0" w:color="DADADA"/>
              <w:bottom w:val="single" w:sz="6" w:space="0" w:color="DADADA"/>
              <w:right w:val="single" w:sz="6" w:space="0" w:color="DADADA"/>
            </w:tcBorders>
            <w:shd w:val="clear" w:color="auto" w:fill="F2F5F7"/>
            <w:tcMar>
              <w:top w:w="96" w:type="dxa"/>
              <w:left w:w="168" w:type="dxa"/>
              <w:bottom w:w="96" w:type="dxa"/>
              <w:right w:w="168" w:type="dxa"/>
            </w:tcMar>
            <w:vAlign w:val="bottom"/>
            <w:hideMark/>
          </w:tcPr>
          <w:p w:rsidR="009D7EE5" w:rsidRPr="009D7EE5" w:rsidRDefault="009D7EE5" w:rsidP="009D7EE5">
            <w:pPr>
              <w:spacing w:after="0" w:line="240" w:lineRule="auto"/>
              <w:jc w:val="center"/>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6 204 рубля</w:t>
            </w:r>
          </w:p>
        </w:tc>
      </w:tr>
      <w:tr w:rsidR="009D7EE5" w:rsidRPr="009D7EE5" w:rsidTr="009D7EE5">
        <w:tc>
          <w:tcPr>
            <w:tcW w:w="0" w:type="auto"/>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Размер страхового взноса в фиксированном размере</w:t>
            </w:r>
          </w:p>
        </w:tc>
        <w:tc>
          <w:tcPr>
            <w:tcW w:w="0" w:type="auto"/>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sz w:val="24"/>
                <w:szCs w:val="24"/>
                <w:lang w:eastAsia="ru-RU"/>
              </w:rPr>
              <w:t>19 356,48 рублей</w:t>
            </w:r>
          </w:p>
        </w:tc>
        <w:tc>
          <w:tcPr>
            <w:tcW w:w="0" w:type="auto"/>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sz w:val="24"/>
                <w:szCs w:val="24"/>
                <w:lang w:eastAsia="ru-RU"/>
              </w:rPr>
              <w:t>19 356,48 + 1% от суммы, превышающей 300 000 рублей, но не более 154 851,84 рублей</w:t>
            </w:r>
          </w:p>
        </w:tc>
        <w:tc>
          <w:tcPr>
            <w:tcW w:w="0" w:type="auto"/>
            <w:tcBorders>
              <w:top w:val="single" w:sz="6" w:space="0" w:color="DADADA"/>
              <w:left w:val="single" w:sz="6" w:space="0" w:color="DADADA"/>
              <w:bottom w:val="single" w:sz="6" w:space="0" w:color="DADADA"/>
              <w:right w:val="single" w:sz="6" w:space="0" w:color="DADADA"/>
            </w:tcBorders>
            <w:shd w:val="clear" w:color="auto" w:fill="FFFFFF"/>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sz w:val="24"/>
                <w:szCs w:val="24"/>
                <w:lang w:eastAsia="ru-RU"/>
              </w:rPr>
              <w:t>3 796,85 рублей</w:t>
            </w:r>
          </w:p>
        </w:tc>
      </w:tr>
      <w:tr w:rsidR="009D7EE5" w:rsidRPr="009D7EE5" w:rsidTr="009D7EE5">
        <w:tc>
          <w:tcPr>
            <w:tcW w:w="0" w:type="auto"/>
            <w:tcBorders>
              <w:top w:val="single" w:sz="6" w:space="0" w:color="DADADA"/>
              <w:left w:val="single" w:sz="6" w:space="0" w:color="DADADA"/>
              <w:bottom w:val="single" w:sz="6" w:space="0" w:color="DADADA"/>
              <w:right w:val="single" w:sz="6" w:space="0" w:color="DADADA"/>
            </w:tcBorders>
            <w:shd w:val="clear" w:color="auto" w:fill="F2F5F7"/>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b/>
                <w:bCs/>
                <w:sz w:val="24"/>
                <w:szCs w:val="24"/>
                <w:bdr w:val="none" w:sz="0" w:space="0" w:color="auto" w:frame="1"/>
                <w:lang w:eastAsia="ru-RU"/>
              </w:rPr>
              <w:t>Срок уплаты страховых взносов</w:t>
            </w:r>
          </w:p>
        </w:tc>
        <w:tc>
          <w:tcPr>
            <w:tcW w:w="0" w:type="auto"/>
            <w:tcBorders>
              <w:top w:val="single" w:sz="6" w:space="0" w:color="DADADA"/>
              <w:left w:val="single" w:sz="6" w:space="0" w:color="DADADA"/>
              <w:bottom w:val="single" w:sz="6" w:space="0" w:color="DADADA"/>
              <w:right w:val="single" w:sz="6" w:space="0" w:color="DADADA"/>
            </w:tcBorders>
            <w:shd w:val="clear" w:color="auto" w:fill="F2F5F7"/>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proofErr w:type="gramStart"/>
            <w:r w:rsidRPr="009D7EE5">
              <w:rPr>
                <w:rFonts w:ascii="inherit" w:eastAsia="Times New Roman" w:hAnsi="inherit" w:cs="Times New Roman"/>
                <w:sz w:val="24"/>
                <w:szCs w:val="24"/>
                <w:lang w:eastAsia="ru-RU"/>
              </w:rPr>
              <w:t>до</w:t>
            </w:r>
            <w:proofErr w:type="gramEnd"/>
            <w:r w:rsidRPr="009D7EE5">
              <w:rPr>
                <w:rFonts w:ascii="inherit" w:eastAsia="Times New Roman" w:hAnsi="inherit" w:cs="Times New Roman"/>
                <w:sz w:val="24"/>
                <w:szCs w:val="24"/>
                <w:lang w:eastAsia="ru-RU"/>
              </w:rPr>
              <w:t xml:space="preserve"> 31.12.2016 г.</w:t>
            </w:r>
          </w:p>
        </w:tc>
        <w:tc>
          <w:tcPr>
            <w:tcW w:w="0" w:type="auto"/>
            <w:tcBorders>
              <w:top w:val="single" w:sz="6" w:space="0" w:color="DADADA"/>
              <w:left w:val="single" w:sz="6" w:space="0" w:color="DADADA"/>
              <w:bottom w:val="single" w:sz="6" w:space="0" w:color="DADADA"/>
              <w:right w:val="single" w:sz="6" w:space="0" w:color="DADADA"/>
            </w:tcBorders>
            <w:shd w:val="clear" w:color="auto" w:fill="F2F5F7"/>
            <w:tcMar>
              <w:top w:w="96" w:type="dxa"/>
              <w:left w:w="168" w:type="dxa"/>
              <w:bottom w:w="96" w:type="dxa"/>
              <w:right w:w="168" w:type="dxa"/>
            </w:tcMar>
            <w:vAlign w:val="bottom"/>
            <w:hideMark/>
          </w:tcPr>
          <w:p w:rsidR="009D7EE5" w:rsidRPr="009D7EE5" w:rsidRDefault="009D7EE5" w:rsidP="009D7EE5">
            <w:pPr>
              <w:spacing w:after="24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sz w:val="24"/>
                <w:szCs w:val="24"/>
                <w:lang w:eastAsia="ru-RU"/>
              </w:rPr>
              <w:t>Срок уплаты 19 356,48 рубля – до 31.12.2016 г.</w:t>
            </w:r>
          </w:p>
          <w:p w:rsidR="009D7EE5" w:rsidRPr="009D7EE5" w:rsidRDefault="009D7EE5" w:rsidP="009D7EE5">
            <w:pPr>
              <w:spacing w:after="240" w:line="240" w:lineRule="auto"/>
              <w:textAlignment w:val="baseline"/>
              <w:rPr>
                <w:rFonts w:ascii="inherit" w:eastAsia="Times New Roman" w:hAnsi="inherit" w:cs="Times New Roman"/>
                <w:sz w:val="24"/>
                <w:szCs w:val="24"/>
                <w:lang w:eastAsia="ru-RU"/>
              </w:rPr>
            </w:pPr>
            <w:proofErr w:type="gramStart"/>
            <w:r w:rsidRPr="009D7EE5">
              <w:rPr>
                <w:rFonts w:ascii="inherit" w:eastAsia="Times New Roman" w:hAnsi="inherit" w:cs="Times New Roman"/>
                <w:sz w:val="24"/>
                <w:szCs w:val="24"/>
                <w:lang w:eastAsia="ru-RU"/>
              </w:rPr>
              <w:t>плюс</w:t>
            </w:r>
            <w:proofErr w:type="gramEnd"/>
          </w:p>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r w:rsidRPr="009D7EE5">
              <w:rPr>
                <w:rFonts w:ascii="inherit" w:eastAsia="Times New Roman" w:hAnsi="inherit" w:cs="Times New Roman"/>
                <w:sz w:val="24"/>
                <w:szCs w:val="24"/>
                <w:lang w:eastAsia="ru-RU"/>
              </w:rPr>
              <w:t>1% от суммы дохода, превышающего 300 000 рублей – не позднее 01.04.2017 г.</w:t>
            </w:r>
          </w:p>
        </w:tc>
        <w:tc>
          <w:tcPr>
            <w:tcW w:w="0" w:type="auto"/>
            <w:tcBorders>
              <w:top w:val="single" w:sz="6" w:space="0" w:color="DADADA"/>
              <w:left w:val="single" w:sz="6" w:space="0" w:color="DADADA"/>
              <w:bottom w:val="single" w:sz="6" w:space="0" w:color="DADADA"/>
              <w:right w:val="single" w:sz="6" w:space="0" w:color="DADADA"/>
            </w:tcBorders>
            <w:shd w:val="clear" w:color="auto" w:fill="F2F5F7"/>
            <w:tcMar>
              <w:top w:w="96" w:type="dxa"/>
              <w:left w:w="168" w:type="dxa"/>
              <w:bottom w:w="96" w:type="dxa"/>
              <w:right w:w="168" w:type="dxa"/>
            </w:tcMar>
            <w:vAlign w:val="bottom"/>
            <w:hideMark/>
          </w:tcPr>
          <w:p w:rsidR="009D7EE5" w:rsidRPr="009D7EE5" w:rsidRDefault="009D7EE5" w:rsidP="009D7EE5">
            <w:pPr>
              <w:spacing w:after="0" w:line="240" w:lineRule="auto"/>
              <w:textAlignment w:val="baseline"/>
              <w:rPr>
                <w:rFonts w:ascii="inherit" w:eastAsia="Times New Roman" w:hAnsi="inherit" w:cs="Times New Roman"/>
                <w:sz w:val="24"/>
                <w:szCs w:val="24"/>
                <w:lang w:eastAsia="ru-RU"/>
              </w:rPr>
            </w:pPr>
            <w:proofErr w:type="gramStart"/>
            <w:r w:rsidRPr="009D7EE5">
              <w:rPr>
                <w:rFonts w:ascii="inherit" w:eastAsia="Times New Roman" w:hAnsi="inherit" w:cs="Times New Roman"/>
                <w:sz w:val="24"/>
                <w:szCs w:val="24"/>
                <w:lang w:eastAsia="ru-RU"/>
              </w:rPr>
              <w:t>не</w:t>
            </w:r>
            <w:proofErr w:type="gramEnd"/>
            <w:r w:rsidRPr="009D7EE5">
              <w:rPr>
                <w:rFonts w:ascii="inherit" w:eastAsia="Times New Roman" w:hAnsi="inherit" w:cs="Times New Roman"/>
                <w:sz w:val="24"/>
                <w:szCs w:val="24"/>
                <w:lang w:eastAsia="ru-RU"/>
              </w:rPr>
              <w:t xml:space="preserve"> позднее 31.12.2016 г.</w:t>
            </w:r>
          </w:p>
        </w:tc>
      </w:tr>
    </w:tbl>
    <w:p w:rsidR="009D7EE5" w:rsidRPr="009D7EE5" w:rsidRDefault="009D7EE5" w:rsidP="009D7EE5">
      <w:pPr>
        <w:spacing w:after="240" w:line="300" w:lineRule="atLeast"/>
        <w:jc w:val="both"/>
        <w:textAlignment w:val="baseline"/>
        <w:rPr>
          <w:rFonts w:ascii="inherit" w:eastAsia="Times New Roman" w:hAnsi="inherit" w:cs="Arial"/>
          <w:color w:val="000000"/>
          <w:lang w:eastAsia="ru-RU"/>
        </w:rPr>
      </w:pPr>
      <w:r w:rsidRPr="009D7EE5">
        <w:rPr>
          <w:rFonts w:ascii="inherit" w:eastAsia="Times New Roman" w:hAnsi="inherit" w:cs="Arial"/>
          <w:color w:val="000000"/>
          <w:lang w:eastAsia="ru-RU"/>
        </w:rPr>
        <w:t>Как определяется доход, из которого исчисляется 1% для расчета взносов? У выплачивающих НДФЛ, применяющих упрощенную систему налогообложения и единый сельскохозяйственный налог учитываются фактически полученные ими доходы от осуществления предпринимательской деятельности. У «</w:t>
      </w:r>
      <w:proofErr w:type="spellStart"/>
      <w:r w:rsidRPr="009D7EE5">
        <w:rPr>
          <w:rFonts w:ascii="inherit" w:eastAsia="Times New Roman" w:hAnsi="inherit" w:cs="Arial"/>
          <w:color w:val="000000"/>
          <w:lang w:eastAsia="ru-RU"/>
        </w:rPr>
        <w:t>вмененщиков</w:t>
      </w:r>
      <w:proofErr w:type="spellEnd"/>
      <w:r w:rsidRPr="009D7EE5">
        <w:rPr>
          <w:rFonts w:ascii="inherit" w:eastAsia="Times New Roman" w:hAnsi="inherit" w:cs="Arial"/>
          <w:color w:val="000000"/>
          <w:lang w:eastAsia="ru-RU"/>
        </w:rPr>
        <w:t>» базой для исчисления 1% от суммы доходов, превышающей 300 000 рублей, будет вмененный доход, у «</w:t>
      </w:r>
      <w:proofErr w:type="spellStart"/>
      <w:r w:rsidRPr="009D7EE5">
        <w:rPr>
          <w:rFonts w:ascii="inherit" w:eastAsia="Times New Roman" w:hAnsi="inherit" w:cs="Arial"/>
          <w:color w:val="000000"/>
          <w:lang w:eastAsia="ru-RU"/>
        </w:rPr>
        <w:t>патентщиков</w:t>
      </w:r>
      <w:proofErr w:type="spellEnd"/>
      <w:r w:rsidRPr="009D7EE5">
        <w:rPr>
          <w:rFonts w:ascii="inherit" w:eastAsia="Times New Roman" w:hAnsi="inherit" w:cs="Arial"/>
          <w:color w:val="000000"/>
          <w:lang w:eastAsia="ru-RU"/>
        </w:rPr>
        <w:t>» - потенциально возможный к получению доход. У использующих несколько режимов налогообложения доходы по разным режимам суммируются.</w:t>
      </w:r>
    </w:p>
    <w:p w:rsidR="009D7EE5" w:rsidRPr="009D7EE5" w:rsidRDefault="009D7EE5" w:rsidP="009D7EE5">
      <w:pPr>
        <w:spacing w:after="0" w:line="288" w:lineRule="atLeast"/>
        <w:jc w:val="both"/>
        <w:textAlignment w:val="baseline"/>
        <w:outlineLvl w:val="2"/>
        <w:rPr>
          <w:rFonts w:ascii="inherit" w:eastAsia="Times New Roman" w:hAnsi="inherit" w:cs="Arial"/>
          <w:b/>
          <w:bCs/>
          <w:color w:val="334455"/>
          <w:sz w:val="28"/>
          <w:szCs w:val="28"/>
          <w:lang w:eastAsia="ru-RU"/>
        </w:rPr>
      </w:pPr>
      <w:hyperlink r:id="rId4" w:history="1">
        <w:r w:rsidRPr="009D7EE5">
          <w:rPr>
            <w:rFonts w:ascii="inherit" w:eastAsia="Times New Roman" w:hAnsi="inherit" w:cs="Arial"/>
            <w:b/>
            <w:bCs/>
            <w:color w:val="0B7FA4"/>
            <w:sz w:val="24"/>
            <w:szCs w:val="24"/>
            <w:bdr w:val="none" w:sz="0" w:space="0" w:color="auto" w:frame="1"/>
            <w:lang w:eastAsia="ru-RU"/>
          </w:rPr>
          <w:t>Порядок определения размера страховых взносов на ОПС исходя из величины дохода плательщиков страховых взносов, не производящих выплаты и иные вознаграждения физическим лицам при доходе свыше 300 тысяч рублей</w:t>
        </w:r>
      </w:hyperlink>
    </w:p>
    <w:p w:rsidR="009D7EE5" w:rsidRPr="009D7EE5" w:rsidRDefault="009D7EE5" w:rsidP="009D7EE5">
      <w:pPr>
        <w:spacing w:after="0" w:line="300" w:lineRule="atLeast"/>
        <w:jc w:val="both"/>
        <w:textAlignment w:val="baseline"/>
        <w:rPr>
          <w:rFonts w:ascii="inherit" w:eastAsia="Times New Roman" w:hAnsi="inherit" w:cs="Arial"/>
          <w:color w:val="000000"/>
          <w:lang w:eastAsia="ru-RU"/>
        </w:rPr>
      </w:pPr>
      <w:r w:rsidRPr="009D7EE5">
        <w:rPr>
          <w:rFonts w:ascii="inherit" w:eastAsia="Times New Roman" w:hAnsi="inherit" w:cs="Arial"/>
          <w:color w:val="000000"/>
          <w:lang w:eastAsia="ru-RU"/>
        </w:rPr>
        <w:t>Сформировать квитанцию, просмотреть информацию о сумме начисленных и уплаченных страховых взносах, а также состоянии задолженности можно с помощью </w:t>
      </w:r>
      <w:hyperlink r:id="rId5" w:history="1">
        <w:r w:rsidRPr="009D7EE5">
          <w:rPr>
            <w:rFonts w:ascii="inherit" w:eastAsia="Times New Roman" w:hAnsi="inherit" w:cs="Arial"/>
            <w:i/>
            <w:iCs/>
            <w:color w:val="0B7FA4"/>
            <w:u w:val="single"/>
            <w:bdr w:val="none" w:sz="0" w:space="0" w:color="auto" w:frame="1"/>
            <w:lang w:eastAsia="ru-RU"/>
          </w:rPr>
          <w:t>электронного сервиса «Кабинет плательщика»</w:t>
        </w:r>
      </w:hyperlink>
      <w:r w:rsidRPr="009D7EE5">
        <w:rPr>
          <w:rFonts w:ascii="inherit" w:eastAsia="Times New Roman" w:hAnsi="inherit" w:cs="Arial"/>
          <w:i/>
          <w:iCs/>
          <w:color w:val="000000"/>
          <w:bdr w:val="none" w:sz="0" w:space="0" w:color="auto" w:frame="1"/>
          <w:lang w:eastAsia="ru-RU"/>
        </w:rPr>
        <w:t>.</w:t>
      </w:r>
    </w:p>
    <w:p w:rsidR="009D7EE5" w:rsidRPr="009D7EE5" w:rsidRDefault="009D7EE5" w:rsidP="009D7EE5">
      <w:pPr>
        <w:spacing w:after="240" w:line="300" w:lineRule="atLeast"/>
        <w:jc w:val="both"/>
        <w:textAlignment w:val="baseline"/>
        <w:rPr>
          <w:rFonts w:ascii="inherit" w:eastAsia="Times New Roman" w:hAnsi="inherit" w:cs="Arial"/>
          <w:color w:val="000000"/>
          <w:lang w:eastAsia="ru-RU"/>
        </w:rPr>
      </w:pPr>
      <w:proofErr w:type="spellStart"/>
      <w:r w:rsidRPr="009D7EE5">
        <w:rPr>
          <w:rFonts w:ascii="inherit" w:eastAsia="Times New Roman" w:hAnsi="inherit" w:cs="Arial"/>
          <w:color w:val="000000"/>
          <w:lang w:eastAsia="ru-RU"/>
        </w:rPr>
        <w:t>Самозанятые</w:t>
      </w:r>
      <w:proofErr w:type="spellEnd"/>
      <w:r w:rsidRPr="009D7EE5">
        <w:rPr>
          <w:rFonts w:ascii="inherit" w:eastAsia="Times New Roman" w:hAnsi="inherit" w:cs="Arial"/>
          <w:color w:val="000000"/>
          <w:lang w:eastAsia="ru-RU"/>
        </w:rPr>
        <w:t xml:space="preserve"> лица должны перечислять взносы в бюджет ПФР платежными поручениями без распределения на накопительную и страховую пенсии. Это связано с тем, что распределение страховых взносов на накопительную и страховую пенсии осуществляет ПФР на основании сведений индивидуального персонифицированного учета и выбранного застрахованным лицом варианта пенсионного обеспечения.</w:t>
      </w:r>
    </w:p>
    <w:p w:rsidR="009D7EE5" w:rsidRPr="009D7EE5" w:rsidRDefault="009D7EE5" w:rsidP="009D7EE5">
      <w:pPr>
        <w:spacing w:after="240" w:line="300" w:lineRule="atLeast"/>
        <w:jc w:val="both"/>
        <w:textAlignment w:val="baseline"/>
        <w:rPr>
          <w:rFonts w:ascii="inherit" w:eastAsia="Times New Roman" w:hAnsi="inherit" w:cs="Arial"/>
          <w:color w:val="000000"/>
          <w:lang w:eastAsia="ru-RU"/>
        </w:rPr>
      </w:pPr>
      <w:r w:rsidRPr="009D7EE5">
        <w:rPr>
          <w:rFonts w:ascii="inherit" w:eastAsia="Times New Roman" w:hAnsi="inherit" w:cs="Arial"/>
          <w:color w:val="000000"/>
          <w:lang w:eastAsia="ru-RU"/>
        </w:rPr>
        <w:t xml:space="preserve">Плательщики страховых взносов, не производящие выплаты и иные вознаграждения физическим лицам, при доходе за расчетный период свыше предельной величины дохода (300 тыс. рублей) </w:t>
      </w:r>
      <w:r w:rsidRPr="009D7EE5">
        <w:rPr>
          <w:rFonts w:ascii="inherit" w:eastAsia="Times New Roman" w:hAnsi="inherit" w:cs="Arial"/>
          <w:color w:val="000000"/>
          <w:lang w:eastAsia="ru-RU"/>
        </w:rPr>
        <w:lastRenderedPageBreak/>
        <w:t>уплачивают страховые взносы на обязательное пенсионное страхование в фиксированном размере двумя платежными поручениями:</w:t>
      </w:r>
    </w:p>
    <w:p w:rsidR="009D7EE5" w:rsidRPr="009D7EE5" w:rsidRDefault="009D7EE5" w:rsidP="009D7EE5">
      <w:pPr>
        <w:spacing w:after="240" w:line="300" w:lineRule="atLeast"/>
        <w:jc w:val="both"/>
        <w:textAlignment w:val="baseline"/>
        <w:rPr>
          <w:rFonts w:ascii="inherit" w:eastAsia="Times New Roman" w:hAnsi="inherit" w:cs="Arial"/>
          <w:color w:val="000000"/>
          <w:lang w:eastAsia="ru-RU"/>
        </w:rPr>
      </w:pPr>
      <w:r w:rsidRPr="009D7EE5">
        <w:rPr>
          <w:rFonts w:ascii="inherit" w:eastAsia="Times New Roman" w:hAnsi="inherit" w:cs="Arial"/>
          <w:color w:val="000000"/>
          <w:lang w:eastAsia="ru-RU"/>
        </w:rPr>
        <w:t xml:space="preserve">- фиксированный размер 19 356,48 </w:t>
      </w:r>
      <w:proofErr w:type="gramStart"/>
      <w:r w:rsidRPr="009D7EE5">
        <w:rPr>
          <w:rFonts w:ascii="inherit" w:eastAsia="Times New Roman" w:hAnsi="inherit" w:cs="Arial"/>
          <w:color w:val="000000"/>
          <w:lang w:eastAsia="ru-RU"/>
        </w:rPr>
        <w:t>руб.(</w:t>
      </w:r>
      <w:proofErr w:type="gramEnd"/>
      <w:r w:rsidRPr="009D7EE5">
        <w:rPr>
          <w:rFonts w:ascii="inherit" w:eastAsia="Times New Roman" w:hAnsi="inherit" w:cs="Arial"/>
          <w:color w:val="000000"/>
          <w:lang w:eastAsia="ru-RU"/>
        </w:rPr>
        <w:t>2016 г.) на КБК 392 1 02 02140 06 1100 160 и</w:t>
      </w:r>
    </w:p>
    <w:p w:rsidR="009D7EE5" w:rsidRPr="009D7EE5" w:rsidRDefault="009D7EE5" w:rsidP="009D7EE5">
      <w:pPr>
        <w:spacing w:after="240" w:line="300" w:lineRule="atLeast"/>
        <w:jc w:val="both"/>
        <w:textAlignment w:val="baseline"/>
        <w:rPr>
          <w:rFonts w:ascii="inherit" w:eastAsia="Times New Roman" w:hAnsi="inherit" w:cs="Arial"/>
          <w:color w:val="000000"/>
          <w:lang w:eastAsia="ru-RU"/>
        </w:rPr>
      </w:pPr>
      <w:r w:rsidRPr="009D7EE5">
        <w:rPr>
          <w:rFonts w:ascii="inherit" w:eastAsia="Times New Roman" w:hAnsi="inherit" w:cs="Arial"/>
          <w:color w:val="000000"/>
          <w:lang w:eastAsia="ru-RU"/>
        </w:rPr>
        <w:t>- 1 % от суммы превышения на КБК 392 1 02 02140 06 1200 160, но не более 154 851,84 руб.</w:t>
      </w:r>
    </w:p>
    <w:p w:rsidR="009D7EE5" w:rsidRPr="009D7EE5" w:rsidRDefault="009D7EE5" w:rsidP="009D7EE5">
      <w:pPr>
        <w:spacing w:after="240" w:line="300" w:lineRule="atLeast"/>
        <w:jc w:val="both"/>
        <w:textAlignment w:val="baseline"/>
        <w:rPr>
          <w:rFonts w:ascii="inherit" w:eastAsia="Times New Roman" w:hAnsi="inherit" w:cs="Arial"/>
          <w:color w:val="000000"/>
          <w:lang w:eastAsia="ru-RU"/>
        </w:rPr>
      </w:pPr>
      <w:r w:rsidRPr="009D7EE5">
        <w:rPr>
          <w:rFonts w:ascii="inherit" w:eastAsia="Times New Roman" w:hAnsi="inherit" w:cs="Arial"/>
          <w:color w:val="000000"/>
          <w:lang w:eastAsia="ru-RU"/>
        </w:rPr>
        <w:t>Сумма страховых взносов не может быть более величины определяемой как произведение восьмикратного минимального размера оплаты труда, установленного федеральным законом на начало финансового года, за который уплачиваются страховые взносы, и тарифа страховых взносов, увеличенное в 12 раз (за исключением глав крестьянских (фермерских) хозяйств).</w:t>
      </w:r>
    </w:p>
    <w:p w:rsidR="009D7EE5" w:rsidRPr="009D7EE5" w:rsidRDefault="009D7EE5" w:rsidP="009D7EE5">
      <w:pPr>
        <w:spacing w:after="240" w:line="300" w:lineRule="atLeast"/>
        <w:jc w:val="both"/>
        <w:textAlignment w:val="baseline"/>
        <w:rPr>
          <w:rFonts w:ascii="inherit" w:eastAsia="Times New Roman" w:hAnsi="inherit" w:cs="Arial"/>
          <w:color w:val="000000"/>
          <w:lang w:eastAsia="ru-RU"/>
        </w:rPr>
      </w:pPr>
      <w:r w:rsidRPr="009D7EE5">
        <w:rPr>
          <w:rFonts w:ascii="inherit" w:eastAsia="Times New Roman" w:hAnsi="inherit" w:cs="Arial"/>
          <w:color w:val="000000"/>
          <w:lang w:eastAsia="ru-RU"/>
        </w:rPr>
        <w:t>Для глав КФХ установлен особый порядок уплаты страховых взносов, согласно которому главы КФХ уплачивают страховые взносы в бюджет ПФР в фиксированном размере за себя и за каждого члена КФХ. При этом фиксированный размер страхового взноса определяется как произведение минимального размера оплаты труда, установленного федеральным законом на начало финансового года, за который уплачиваются страховые взносы, тарифа страховых взносов в соответствующий государственный внебюджетный фонд, установленного частью 2 статьи 12 Федерального закона N 212-ФЗ, увеличенное в 12 раз, и количества всех членов КФХ, включая главу КФХ.</w:t>
      </w:r>
    </w:p>
    <w:p w:rsidR="000E565F" w:rsidRDefault="000E565F" w:rsidP="009D7EE5">
      <w:pPr>
        <w:jc w:val="both"/>
      </w:pPr>
      <w:bookmarkStart w:id="0" w:name="_GoBack"/>
      <w:bookmarkEnd w:id="0"/>
    </w:p>
    <w:sectPr w:rsidR="000E56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EE5"/>
    <w:rsid w:val="000E565F"/>
    <w:rsid w:val="009D7E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E6BA4E-09CA-40D7-9718-39A36E850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970031">
      <w:bodyDiv w:val="1"/>
      <w:marLeft w:val="0"/>
      <w:marRight w:val="0"/>
      <w:marTop w:val="0"/>
      <w:marBottom w:val="0"/>
      <w:divBdr>
        <w:top w:val="none" w:sz="0" w:space="0" w:color="auto"/>
        <w:left w:val="none" w:sz="0" w:space="0" w:color="auto"/>
        <w:bottom w:val="none" w:sz="0" w:space="0" w:color="auto"/>
        <w:right w:val="none" w:sz="0" w:space="0" w:color="auto"/>
      </w:divBdr>
      <w:divsChild>
        <w:div w:id="2118987931">
          <w:marLeft w:val="0"/>
          <w:marRight w:val="0"/>
          <w:marTop w:val="0"/>
          <w:marBottom w:val="0"/>
          <w:divBdr>
            <w:top w:val="none" w:sz="0" w:space="0" w:color="auto"/>
            <w:left w:val="none" w:sz="0" w:space="0" w:color="auto"/>
            <w:bottom w:val="none" w:sz="0" w:space="0" w:color="auto"/>
            <w:right w:val="none" w:sz="0" w:space="0" w:color="auto"/>
          </w:divBdr>
          <w:divsChild>
            <w:div w:id="1194418413">
              <w:marLeft w:val="0"/>
              <w:marRight w:val="0"/>
              <w:marTop w:val="0"/>
              <w:marBottom w:val="0"/>
              <w:divBdr>
                <w:top w:val="none" w:sz="0" w:space="0" w:color="auto"/>
                <w:left w:val="none" w:sz="0" w:space="0" w:color="auto"/>
                <w:bottom w:val="none" w:sz="0" w:space="0" w:color="auto"/>
                <w:right w:val="none" w:sz="0" w:space="0" w:color="auto"/>
              </w:divBdr>
            </w:div>
          </w:divsChild>
        </w:div>
        <w:div w:id="955939745">
          <w:marLeft w:val="0"/>
          <w:marRight w:val="0"/>
          <w:marTop w:val="0"/>
          <w:marBottom w:val="0"/>
          <w:divBdr>
            <w:top w:val="none" w:sz="0" w:space="0" w:color="auto"/>
            <w:left w:val="none" w:sz="0" w:space="0" w:color="auto"/>
            <w:bottom w:val="none" w:sz="0" w:space="0" w:color="auto"/>
            <w:right w:val="none" w:sz="0" w:space="0" w:color="auto"/>
          </w:divBdr>
          <w:divsChild>
            <w:div w:id="1534612517">
              <w:marLeft w:val="0"/>
              <w:marRight w:val="0"/>
              <w:marTop w:val="0"/>
              <w:marBottom w:val="0"/>
              <w:divBdr>
                <w:top w:val="none" w:sz="0" w:space="0" w:color="auto"/>
                <w:left w:val="none" w:sz="0" w:space="0" w:color="auto"/>
                <w:bottom w:val="none" w:sz="0" w:space="0" w:color="auto"/>
                <w:right w:val="none" w:sz="0" w:space="0" w:color="auto"/>
              </w:divBdr>
              <w:divsChild>
                <w:div w:id="79340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frf.ru/eservices/lkp/" TargetMode="External"/><Relationship Id="rId4" Type="http://schemas.openxmlformats.org/officeDocument/2006/relationships/hyperlink" Target="http://www.pfrf.ru/strahovatelyam/samozaniatoe/porjadok_upl_ip~37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563</Words>
  <Characters>3214</Characters>
  <Application>Microsoft Office Word</Application>
  <DocSecurity>0</DocSecurity>
  <Lines>26</Lines>
  <Paragraphs>7</Paragraphs>
  <ScaleCrop>false</ScaleCrop>
  <Company/>
  <LinksUpToDate>false</LinksUpToDate>
  <CharactersWithSpaces>3770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2016-07-16T18:41:00Z</dcterms:created>
  <dcterms:modified xsi:type="dcterms:W3CDTF">2016-07-16T18:41:00Z</dcterms:modified>
</cp:coreProperties>
</file>